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3"/>
        <w:rPr>
          <w:color w:val="auto"/>
          <w:highlight w:val="none"/>
        </w:rPr>
      </w:pPr>
      <w:r>
        <w:rPr>
          <w:color w:val="auto"/>
          <w:highlight w:val="none"/>
        </w:rPr>
      </w:r>
      <w:r/>
    </w:p>
    <w:p>
      <w:pPr>
        <w:jc w:val="center"/>
        <w:rPr>
          <w:rFonts w:hint="eastAsia" w:ascii="宋体" w:hAnsi="宋体" w:cs="宋体"/>
          <w:b/>
          <w:color w:val="auto"/>
          <w:spacing w:val="76"/>
          <w:sz w:val="84"/>
          <w:szCs w:val="84"/>
          <w:highlight w:val="none"/>
        </w:rPr>
      </w:pPr>
      <w:r>
        <w:rPr>
          <w:rFonts w:hint="eastAsia" w:ascii="宋体" w:hAnsi="宋体" w:cs="宋体"/>
          <w:b/>
          <w:color w:val="auto"/>
          <w:spacing w:val="76"/>
          <w:sz w:val="84"/>
          <w:szCs w:val="84"/>
          <w:highlight w:val="none"/>
        </w:rPr>
      </w:r>
      <w:r/>
    </w:p>
    <w:p>
      <w:pPr>
        <w:jc w:val="center"/>
        <w:rPr>
          <w:rFonts w:hint="eastAsia" w:ascii="宋体" w:hAnsi="宋体" w:cs="宋体"/>
          <w:b/>
          <w:color w:val="auto"/>
          <w:spacing w:val="76"/>
          <w:sz w:val="84"/>
          <w:szCs w:val="84"/>
          <w:highlight w:val="none"/>
        </w:rPr>
      </w:pPr>
      <w:r>
        <w:rPr>
          <w:rFonts w:hint="eastAsia" w:ascii="宋体" w:hAnsi="宋体" w:cs="宋体"/>
          <w:b/>
          <w:color w:val="auto"/>
          <w:spacing w:val="76"/>
          <w:sz w:val="84"/>
          <w:szCs w:val="84"/>
          <w:highlight w:val="none"/>
        </w:rPr>
      </w:r>
      <w:r/>
    </w:p>
    <w:p>
      <w:pPr>
        <w:jc w:val="center"/>
        <w:rPr>
          <w:rFonts w:ascii="宋体" w:hAnsi="宋体" w:cs="宋体"/>
          <w:b/>
          <w:color w:val="auto"/>
          <w:spacing w:val="76"/>
          <w:sz w:val="84"/>
          <w:szCs w:val="84"/>
          <w:highlight w:val="none"/>
        </w:rPr>
      </w:pPr>
      <w:r>
        <w:rPr>
          <w:rFonts w:hint="eastAsia" w:ascii="宋体" w:hAnsi="宋体" w:cs="宋体"/>
          <w:b/>
          <w:color w:val="auto"/>
          <w:spacing w:val="76"/>
          <w:sz w:val="84"/>
          <w:szCs w:val="84"/>
          <w:highlight w:val="none"/>
        </w:rPr>
        <w:t xml:space="preserve">招标文件</w:t>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rPr>
          <w:rFonts w:ascii="宋体" w:hAnsi="宋体" w:cs="宋体"/>
          <w:b/>
          <w:color w:val="auto"/>
          <w:sz w:val="24"/>
          <w:highlight w:val="none"/>
        </w:rPr>
      </w:pPr>
      <w:r>
        <w:rPr>
          <w:rFonts w:ascii="宋体" w:hAnsi="宋体" w:cs="宋体"/>
          <w:b/>
          <w:color w:val="auto"/>
          <w:sz w:val="24"/>
          <w:highlight w:val="none"/>
        </w:rPr>
      </w:r>
      <w:r/>
    </w:p>
    <w:p>
      <w:pPr>
        <w:ind w:firstLine="1280"/>
        <w:spacing w:line="360" w:lineRule="auto"/>
        <w:rPr>
          <w:rFonts w:hint="eastAsia" w:ascii="宋体" w:hAnsi="宋体" w:eastAsia="宋体" w:cs="宋体"/>
          <w:color w:val="auto"/>
          <w:sz w:val="30"/>
          <w:szCs w:val="30"/>
          <w:highlight w:val="none"/>
          <w:u w:val="single"/>
          <w:lang w:eastAsia="zh-CN"/>
        </w:rPr>
      </w:pPr>
      <w:r>
        <w:rPr>
          <w:rFonts w:hint="eastAsia" w:ascii="宋体" w:hAnsi="宋体" w:cs="宋体"/>
          <w:color w:val="auto"/>
          <w:sz w:val="30"/>
          <w:szCs w:val="30"/>
          <w:highlight w:val="none"/>
        </w:rPr>
        <w:t xml:space="preserve">项目编号：</w:t>
      </w:r>
      <w:r>
        <w:rPr>
          <w:rFonts w:hint="eastAsia" w:ascii="宋体" w:hAnsi="宋体" w:cs="宋体"/>
          <w:color w:val="auto"/>
          <w:sz w:val="30"/>
          <w:szCs w:val="30"/>
          <w:highlight w:val="none"/>
          <w:u w:val="single"/>
          <w:lang w:eastAsia="zh-CN"/>
        </w:rPr>
        <w:t xml:space="preserve">JSZC-320311-JSKJ-G2025-0074</w:t>
      </w:r>
      <w:r/>
    </w:p>
    <w:p>
      <w:pPr>
        <w:ind w:left="2877" w:hanging="1600"/>
        <w:spacing w:line="360" w:lineRule="auto"/>
        <w:rPr>
          <w:rFonts w:hint="eastAsia" w:ascii="宋体" w:hAnsi="宋体" w:cs="宋体"/>
          <w:color w:val="auto"/>
          <w:sz w:val="30"/>
          <w:szCs w:val="30"/>
          <w:highlight w:val="none"/>
          <w:u w:val="single"/>
          <w:lang w:eastAsia="zh-CN"/>
        </w:rPr>
        <w:outlineLvl w:val="9"/>
      </w:pPr>
      <w:r>
        <w:rPr>
          <w:rFonts w:hint="eastAsia" w:ascii="宋体" w:hAnsi="宋体" w:cs="宋体"/>
          <w:color w:val="auto"/>
          <w:sz w:val="30"/>
          <w:szCs w:val="30"/>
          <w:highlight w:val="none"/>
        </w:rPr>
        <w:t xml:space="preserve">项目名称：</w:t>
      </w:r>
      <w:r>
        <w:rPr>
          <w:rFonts w:hint="eastAsia" w:ascii="宋体" w:hAnsi="宋体" w:cs="宋体"/>
          <w:color w:val="auto"/>
          <w:sz w:val="30"/>
          <w:szCs w:val="30"/>
          <w:highlight w:val="none"/>
          <w:u w:val="single"/>
          <w:lang w:eastAsia="zh-CN"/>
        </w:rPr>
        <w:t xml:space="preserve">2025年工业产品质量区级监督抽查抽样</w:t>
      </w:r>
      <w:r/>
    </w:p>
    <w:p>
      <w:pPr>
        <w:ind w:left="2791" w:firstLine="122"/>
        <w:spacing w:line="360" w:lineRule="auto"/>
        <w:rPr>
          <w:rFonts w:hint="eastAsia" w:ascii="宋体" w:hAnsi="宋体" w:eastAsia="宋体" w:cs="宋体"/>
          <w:color w:val="auto"/>
          <w:sz w:val="30"/>
          <w:szCs w:val="30"/>
          <w:highlight w:val="none"/>
          <w:u w:val="single"/>
          <w:lang w:eastAsia="zh-CN"/>
        </w:rPr>
        <w:outlineLvl w:val="9"/>
      </w:pPr>
      <w:r>
        <w:rPr>
          <w:rFonts w:hint="eastAsia" w:ascii="宋体" w:hAnsi="宋体" w:cs="宋体"/>
          <w:color w:val="auto"/>
          <w:sz w:val="30"/>
          <w:szCs w:val="30"/>
          <w:highlight w:val="none"/>
          <w:u w:val="single"/>
          <w:lang w:eastAsia="zh-CN"/>
        </w:rPr>
        <w:t xml:space="preserve">检验机构技术服务</w:t>
      </w:r>
      <w:r/>
    </w:p>
    <w:p>
      <w:pPr>
        <w:ind w:firstLine="1280"/>
        <w:rPr>
          <w:rFonts w:ascii="宋体" w:hAnsi="宋体" w:cs="宋体"/>
          <w:color w:val="auto"/>
          <w:sz w:val="30"/>
          <w:szCs w:val="30"/>
          <w:highlight w:val="none"/>
          <w:u w:val="single"/>
        </w:rPr>
      </w:pPr>
      <w:r>
        <w:rPr>
          <w:rFonts w:hint="eastAsia" w:ascii="宋体" w:hAnsi="宋体" w:cs="宋体"/>
          <w:color w:val="auto"/>
          <w:sz w:val="30"/>
          <w:szCs w:val="30"/>
          <w:highlight w:val="none"/>
        </w:rPr>
        <w:t xml:space="preserve">采 购 人：</w:t>
      </w:r>
      <w:r>
        <w:rPr>
          <w:rFonts w:hint="eastAsia" w:ascii="宋体" w:hAnsi="宋体" w:cs="宋体"/>
          <w:color w:val="auto"/>
          <w:sz w:val="30"/>
          <w:szCs w:val="30"/>
          <w:highlight w:val="none"/>
          <w:u w:val="single"/>
        </w:rPr>
        <w:t xml:space="preserve">徐州市泉山区市场监督管理局</w:t>
      </w:r>
      <w:r/>
    </w:p>
    <w:p>
      <w:pPr>
        <w:rPr>
          <w:rFonts w:ascii="宋体" w:hAnsi="宋体" w:cs="宋体"/>
          <w:color w:val="auto"/>
          <w:sz w:val="44"/>
          <w:highlight w:val="none"/>
        </w:rPr>
      </w:pPr>
      <w:r>
        <w:rPr>
          <w:rFonts w:ascii="宋体" w:hAnsi="宋体" w:cs="宋体"/>
          <w:color w:val="auto"/>
          <w:sz w:val="44"/>
          <w:highlight w:val="none"/>
        </w:rPr>
      </w:r>
      <w:r/>
    </w:p>
    <w:p>
      <w:pPr>
        <w:ind w:right="-159" w:firstLine="2112"/>
        <w:rPr>
          <w:rFonts w:ascii="宋体" w:hAnsi="宋体" w:cs="宋体"/>
          <w:color w:val="auto"/>
          <w:sz w:val="44"/>
          <w:highlight w:val="none"/>
        </w:rPr>
      </w:pPr>
      <w:r>
        <w:rPr>
          <w:rFonts w:ascii="宋体" w:hAnsi="宋体" w:cs="宋体"/>
          <w:color w:val="auto"/>
          <w:sz w:val="44"/>
          <w:highlight w:val="none"/>
        </w:rPr>
      </w:r>
      <w:r/>
    </w:p>
    <w:p>
      <w:pPr>
        <w:ind w:right="-159"/>
        <w:rPr>
          <w:rFonts w:ascii="宋体" w:hAnsi="宋体" w:cs="宋体"/>
          <w:color w:val="auto"/>
          <w:sz w:val="44"/>
          <w:highlight w:val="none"/>
        </w:rPr>
      </w:pPr>
      <w:r>
        <w:rPr>
          <w:rFonts w:ascii="宋体" w:hAnsi="宋体" w:cs="宋体"/>
          <w:color w:val="auto"/>
          <w:sz w:val="44"/>
          <w:highlight w:val="none"/>
        </w:rPr>
      </w:r>
      <w:r/>
    </w:p>
    <w:p>
      <w:pPr>
        <w:jc w:val="center"/>
        <w:rPr>
          <w:rFonts w:ascii="宋体" w:hAnsi="宋体" w:cs="宋体"/>
          <w:color w:val="auto"/>
          <w:sz w:val="30"/>
          <w:highlight w:val="none"/>
        </w:rPr>
      </w:pPr>
      <w:r>
        <w:rPr>
          <w:rFonts w:hint="eastAsia" w:ascii="宋体" w:hAnsi="宋体" w:cs="宋体"/>
          <w:color w:val="auto"/>
          <w:sz w:val="44"/>
          <w:highlight w:val="none"/>
        </w:rPr>
        <mc:AlternateContent>
          <mc:Choice Requires="wpg">
            <w:drawing>
              <wp:inline xmlns:wp="http://schemas.openxmlformats.org/drawingml/2006/wordprocessingDrawing" distT="0" distB="0" distL="0" distR="0">
                <wp:extent cx="4762500" cy="685800"/>
                <wp:effectExtent l="0" t="0" r="0" b="0"/>
                <wp:docPr id="5" name="图片 11"/>
                <wp:cNvGraphicFramePr/>
                <a:graphic xmlns:a="http://schemas.openxmlformats.org/drawingml/2006/main">
                  <a:graphicData uri="http://schemas.openxmlformats.org/drawingml/2006/picture">
                    <pic:pic xmlns:pic="http://schemas.openxmlformats.org/drawingml/2006/picture">
                      <pic:nvPicPr>
                        <pic:cNvPr id="7" name="图片 11"/>
                        <pic:cNvPicPr/>
                        <pic:nvPr/>
                      </pic:nvPicPr>
                      <pic:blipFill>
                        <a:blip r:embed="rId16"/>
                        <a:stretch/>
                      </pic:blipFill>
                      <pic:spPr bwMode="auto">
                        <a:xfrm>
                          <a:off x="0" y="0"/>
                          <a:ext cx="47625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75.0pt;height:54.0pt;mso-wrap-distance-left:0.0pt;mso-wrap-distance-top:0.0pt;mso-wrap-distance-right:0.0pt;mso-wrap-distance-bottom:0.0pt;" stroked="f">
                <v:path textboxrect="0,0,0,0"/>
                <v:imagedata r:id="rId16" o:title=""/>
              </v:shape>
            </w:pict>
          </mc:Fallback>
        </mc:AlternateContent>
      </w:r>
      <w:r/>
    </w:p>
    <w:p>
      <w:pPr>
        <w:jc w:val="center"/>
        <w:rPr>
          <w:rFonts w:hint="eastAsia" w:ascii="Microsoft JhengHei UI" w:hAnsi="Microsoft JhengHei UI" w:eastAsia="Microsoft JhengHei UI" w:cs="Microsoft JhengHei UI"/>
          <w:bCs/>
          <w:color w:val="auto"/>
          <w:sz w:val="32"/>
          <w:szCs w:val="32"/>
          <w:highlight w:val="none"/>
        </w:rPr>
      </w:pPr>
      <w:r>
        <w:rPr>
          <w:rFonts w:hint="eastAsia" w:ascii="Microsoft JhengHei UI" w:hAnsi="Microsoft JhengHei UI" w:eastAsia="Microsoft JhengHei UI" w:cs="Microsoft JhengHei UI"/>
          <w:bCs/>
          <w:color w:val="auto"/>
          <w:sz w:val="32"/>
          <w:szCs w:val="32"/>
          <w:highlight w:val="none"/>
        </w:rPr>
      </w:r>
      <w:r/>
    </w:p>
    <w:p>
      <w:pPr>
        <w:jc w:val="center"/>
        <w:rPr>
          <w:rFonts w:ascii="宋体" w:hAnsi="宋体" w:cs="宋体"/>
          <w:bCs/>
          <w:color w:val="auto"/>
          <w:sz w:val="30"/>
          <w:szCs w:val="30"/>
          <w:highlight w:val="none"/>
        </w:rPr>
        <w:sectPr>
          <w:headerReference w:type="default" r:id="rId9"/>
          <w:footerReference w:type="default" r:id="rId12"/>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cs="宋体"/>
          <w:bCs/>
          <w:color w:val="auto"/>
          <w:sz w:val="30"/>
          <w:szCs w:val="30"/>
          <w:highlight w:val="none"/>
          <w:lang w:val="en-US" w:eastAsia="zh-CN"/>
        </w:rPr>
        <w:t xml:space="preserve">二〇二五年十二月</w:t>
      </w:r>
      <w:r/>
    </w:p>
    <w:p>
      <w:pPr>
        <w:jc w:val="center"/>
        <w:spacing w:line="360" w:lineRule="auto"/>
        <w:rPr>
          <w:color w:val="auto"/>
          <w:sz w:val="44"/>
          <w:szCs w:val="44"/>
          <w:highlight w:val="none"/>
        </w:rPr>
      </w:pPr>
      <w:r>
        <w:rPr>
          <w:rFonts w:ascii="宋体" w:hAnsi="宋体"/>
          <w:color w:val="auto"/>
          <w:sz w:val="44"/>
          <w:szCs w:val="44"/>
          <w:highlight w:val="none"/>
        </w:rPr>
        <w:t xml:space="preserve">目录</w:t>
      </w:r>
      <w:r/>
    </w:p>
    <w:p>
      <w:pPr>
        <w:pStyle w:val="949"/>
        <w:spacing w:line="360" w:lineRule="auto"/>
        <w:tabs>
          <w:tab w:val="right" w:pos="9746" w:leader="dot"/>
        </w:tabs>
        <w:rPr>
          <w:color w:val="auto"/>
          <w:sz w:val="28"/>
          <w:szCs w:val="28"/>
          <w:highlight w:val="none"/>
        </w:rPr>
      </w:pPr>
      <w:r>
        <w:rPr>
          <w:rFonts w:hint="eastAsia"/>
          <w:color w:val="auto"/>
          <w:sz w:val="28"/>
          <w:szCs w:val="28"/>
          <w:highlight w:val="none"/>
        </w:rPr>
        <w:fldChar w:fldCharType="begin"/>
      </w:r>
      <w:r>
        <w:rPr>
          <w:rFonts w:hint="eastAsia"/>
          <w:color w:val="auto"/>
          <w:sz w:val="28"/>
          <w:szCs w:val="28"/>
          <w:highlight w:val="none"/>
        </w:rPr>
        <w:instrText xml:space="preserve">TOC \o "1-1" \h \u </w:instrText>
      </w:r>
      <w:r>
        <w:rPr>
          <w:rFonts w:hint="eastAsia"/>
          <w:color w:val="auto"/>
          <w:sz w:val="28"/>
          <w:szCs w:val="28"/>
          <w:highlight w:val="none"/>
        </w:rPr>
        <w:fldChar w:fldCharType="separate"/>
      </w:r>
      <w:r>
        <w:rPr>
          <w:color w:val="auto"/>
          <w:highlight w:val="none"/>
        </w:rPr>
        <w:fldChar w:fldCharType="begin"/>
      </w:r>
      <w:r>
        <w:rPr>
          <w:color w:val="auto"/>
          <w:highlight w:val="none"/>
        </w:rPr>
        <w:instrText xml:space="preserve"> HYPERLINK \l "_Toc25213" </w:instrText>
      </w:r>
      <w:r>
        <w:rPr>
          <w:color w:val="auto"/>
          <w:highlight w:val="none"/>
        </w:rPr>
        <w:fldChar w:fldCharType="separate"/>
      </w:r>
      <w:r>
        <w:rPr>
          <w:rFonts w:hint="eastAsia" w:ascii="宋体" w:hAnsi="宋体" w:cs="宋体"/>
          <w:bCs/>
          <w:color w:val="auto"/>
          <w:sz w:val="28"/>
          <w:szCs w:val="28"/>
          <w:highlight w:val="none"/>
        </w:rPr>
        <w:t xml:space="preserve">第一章  投标邀请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_Toc25213 \h </w:instrText>
      </w:r>
      <w:r>
        <w:rPr>
          <w:color w:val="auto"/>
          <w:sz w:val="28"/>
          <w:szCs w:val="28"/>
          <w:highlight w:val="none"/>
        </w:rPr>
        <w:fldChar w:fldCharType="separate"/>
      </w:r>
      <w:r>
        <w:rPr>
          <w:color w:val="auto"/>
          <w:sz w:val="28"/>
          <w:szCs w:val="28"/>
          <w:highlight w:val="none"/>
        </w:rPr>
        <w:t xml:space="preserve">1</w:t>
      </w:r>
      <w:r>
        <w:rPr>
          <w:color w:val="auto"/>
          <w:sz w:val="28"/>
          <w:szCs w:val="28"/>
          <w:highlight w:val="none"/>
        </w:rPr>
        <w:fldChar w:fldCharType="end"/>
      </w:r>
      <w:r>
        <w:rPr>
          <w:color w:val="auto"/>
          <w:sz w:val="28"/>
          <w:szCs w:val="28"/>
          <w:highlight w:val="none"/>
        </w:rPr>
        <w:fldChar w:fldCharType="end"/>
      </w:r>
      <w:r/>
    </w:p>
    <w:p>
      <w:pPr>
        <w:pStyle w:val="949"/>
        <w:spacing w:line="360" w:lineRule="auto"/>
        <w:tabs>
          <w:tab w:val="right" w:pos="9746" w:leader="dot"/>
        </w:tabs>
        <w:rPr>
          <w:color w:val="auto"/>
          <w:sz w:val="28"/>
          <w:szCs w:val="28"/>
          <w:highlight w:val="none"/>
        </w:rPr>
      </w:pPr>
      <w:r>
        <w:rPr>
          <w:color w:val="auto"/>
          <w:highlight w:val="none"/>
        </w:rPr>
        <w:fldChar w:fldCharType="begin"/>
      </w:r>
      <w:r>
        <w:rPr>
          <w:color w:val="auto"/>
          <w:highlight w:val="none"/>
        </w:rPr>
        <w:instrText xml:space="preserve"> HYPERLINK \l "_Toc18613" </w:instrText>
      </w:r>
      <w:r>
        <w:rPr>
          <w:color w:val="auto"/>
          <w:highlight w:val="none"/>
        </w:rPr>
        <w:fldChar w:fldCharType="separate"/>
      </w:r>
      <w:r>
        <w:rPr>
          <w:rFonts w:hint="eastAsia" w:ascii="宋体" w:hAnsi="宋体" w:cs="宋体"/>
          <w:bCs/>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_Toc18613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color w:val="auto"/>
          <w:sz w:val="28"/>
          <w:szCs w:val="28"/>
          <w:highlight w:val="none"/>
        </w:rPr>
        <w:fldChar w:fldCharType="end"/>
      </w:r>
      <w:r/>
    </w:p>
    <w:p>
      <w:pPr>
        <w:pStyle w:val="949"/>
        <w:spacing w:line="360" w:lineRule="auto"/>
        <w:tabs>
          <w:tab w:val="right" w:pos="9746" w:leader="dot"/>
        </w:tabs>
        <w:rPr>
          <w:color w:val="auto"/>
          <w:sz w:val="28"/>
          <w:szCs w:val="28"/>
          <w:highlight w:val="none"/>
        </w:rPr>
      </w:pPr>
      <w:r>
        <w:rPr>
          <w:color w:val="auto"/>
          <w:highlight w:val="none"/>
        </w:rPr>
        <w:fldChar w:fldCharType="begin"/>
      </w:r>
      <w:r>
        <w:rPr>
          <w:color w:val="auto"/>
          <w:highlight w:val="none"/>
        </w:rPr>
        <w:instrText xml:space="preserve"> HYPERLINK \l "_Toc31944" </w:instrText>
      </w:r>
      <w:r>
        <w:rPr>
          <w:color w:val="auto"/>
          <w:highlight w:val="none"/>
        </w:rPr>
        <w:fldChar w:fldCharType="separate"/>
      </w:r>
      <w:r>
        <w:rPr>
          <w:rFonts w:hint="eastAsia" w:ascii="宋体" w:hAnsi="宋体" w:cs="宋体"/>
          <w:bCs/>
          <w:color w:val="auto"/>
          <w:sz w:val="28"/>
          <w:szCs w:val="28"/>
          <w:highlight w:val="none"/>
        </w:rPr>
        <w:t xml:space="preserve">第三章  投标资料表</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_Toc31944 \h </w:instrText>
      </w:r>
      <w:r>
        <w:rPr>
          <w:color w:val="auto"/>
          <w:sz w:val="28"/>
          <w:szCs w:val="28"/>
          <w:highlight w:val="none"/>
        </w:rPr>
        <w:fldChar w:fldCharType="separate"/>
      </w:r>
      <w:r>
        <w:rPr>
          <w:color w:val="auto"/>
          <w:sz w:val="28"/>
          <w:szCs w:val="28"/>
          <w:highlight w:val="none"/>
        </w:rPr>
        <w:t xml:space="preserve">13</w:t>
      </w:r>
      <w:r>
        <w:rPr>
          <w:color w:val="auto"/>
          <w:sz w:val="28"/>
          <w:szCs w:val="28"/>
          <w:highlight w:val="none"/>
        </w:rPr>
        <w:fldChar w:fldCharType="end"/>
      </w:r>
      <w:r>
        <w:rPr>
          <w:color w:val="auto"/>
          <w:sz w:val="28"/>
          <w:szCs w:val="28"/>
          <w:highlight w:val="none"/>
        </w:rPr>
        <w:fldChar w:fldCharType="end"/>
      </w:r>
      <w:r/>
    </w:p>
    <w:p>
      <w:pPr>
        <w:pStyle w:val="949"/>
        <w:spacing w:line="360" w:lineRule="auto"/>
        <w:tabs>
          <w:tab w:val="right" w:pos="9746" w:leader="dot"/>
        </w:tabs>
        <w:rPr>
          <w:color w:val="auto"/>
          <w:sz w:val="28"/>
          <w:szCs w:val="28"/>
          <w:highlight w:val="none"/>
        </w:rPr>
      </w:pPr>
      <w:r>
        <w:rPr>
          <w:color w:val="auto"/>
          <w:highlight w:val="none"/>
        </w:rPr>
        <w:fldChar w:fldCharType="begin"/>
      </w:r>
      <w:r>
        <w:rPr>
          <w:color w:val="auto"/>
          <w:highlight w:val="none"/>
        </w:rPr>
        <w:instrText xml:space="preserve"> HYPERLINK \l "_Toc29967" </w:instrText>
      </w:r>
      <w:r>
        <w:rPr>
          <w:color w:val="auto"/>
          <w:highlight w:val="none"/>
        </w:rPr>
        <w:fldChar w:fldCharType="separate"/>
      </w:r>
      <w:r>
        <w:rPr>
          <w:rFonts w:hint="eastAsia" w:ascii="宋体" w:hAnsi="宋体" w:cs="宋体"/>
          <w:bCs/>
          <w:color w:val="auto"/>
          <w:sz w:val="28"/>
          <w:szCs w:val="28"/>
          <w:highlight w:val="none"/>
        </w:rPr>
        <w:t xml:space="preserve">第四章  </w:t>
      </w:r>
      <w:r>
        <w:rPr>
          <w:rFonts w:hint="eastAsia" w:ascii="宋体" w:hAnsi="宋体" w:cs="宋体"/>
          <w:color w:val="auto"/>
          <w:sz w:val="28"/>
          <w:szCs w:val="28"/>
          <w:highlight w:val="none"/>
        </w:rPr>
        <w:t xml:space="preserve">评标标准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_Toc29967 \h </w:instrText>
      </w:r>
      <w:r>
        <w:rPr>
          <w:color w:val="auto"/>
          <w:sz w:val="28"/>
          <w:szCs w:val="28"/>
          <w:highlight w:val="none"/>
        </w:rPr>
        <w:fldChar w:fldCharType="separate"/>
      </w:r>
      <w:r>
        <w:rPr>
          <w:color w:val="auto"/>
          <w:sz w:val="28"/>
          <w:szCs w:val="28"/>
          <w:highlight w:val="none"/>
        </w:rPr>
        <w:t xml:space="preserve">20</w:t>
      </w:r>
      <w:r>
        <w:rPr>
          <w:color w:val="auto"/>
          <w:sz w:val="28"/>
          <w:szCs w:val="28"/>
          <w:highlight w:val="none"/>
        </w:rPr>
        <w:fldChar w:fldCharType="end"/>
      </w:r>
      <w:r>
        <w:rPr>
          <w:color w:val="auto"/>
          <w:sz w:val="28"/>
          <w:szCs w:val="28"/>
          <w:highlight w:val="none"/>
        </w:rPr>
        <w:fldChar w:fldCharType="end"/>
      </w:r>
      <w:r/>
    </w:p>
    <w:p>
      <w:pPr>
        <w:pStyle w:val="949"/>
        <w:spacing w:line="360" w:lineRule="auto"/>
        <w:tabs>
          <w:tab w:val="right" w:pos="9746" w:leader="dot"/>
        </w:tabs>
        <w:rPr>
          <w:color w:val="auto"/>
          <w:sz w:val="28"/>
          <w:szCs w:val="28"/>
          <w:highlight w:val="none"/>
        </w:rPr>
      </w:pPr>
      <w:r>
        <w:rPr>
          <w:color w:val="auto"/>
          <w:highlight w:val="none"/>
        </w:rPr>
        <w:fldChar w:fldCharType="begin"/>
      </w:r>
      <w:r>
        <w:rPr>
          <w:color w:val="auto"/>
          <w:highlight w:val="none"/>
        </w:rPr>
        <w:instrText xml:space="preserve"> HYPERLINK \l "_Toc13480" </w:instrText>
      </w:r>
      <w:r>
        <w:rPr>
          <w:color w:val="auto"/>
          <w:highlight w:val="none"/>
        </w:rPr>
        <w:fldChar w:fldCharType="separate"/>
      </w:r>
      <w:r>
        <w:rPr>
          <w:rFonts w:hint="eastAsia" w:ascii="宋体" w:hAnsi="宋体" w:cs="宋体"/>
          <w:bCs/>
          <w:color w:val="auto"/>
          <w:sz w:val="28"/>
          <w:szCs w:val="28"/>
          <w:highlight w:val="none"/>
        </w:rPr>
        <w:t xml:space="preserve">第五章  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_Toc13480 \h </w:instrText>
      </w:r>
      <w:r>
        <w:rPr>
          <w:color w:val="auto"/>
          <w:sz w:val="28"/>
          <w:szCs w:val="28"/>
          <w:highlight w:val="none"/>
        </w:rPr>
        <w:fldChar w:fldCharType="separate"/>
      </w:r>
      <w:r>
        <w:rPr>
          <w:color w:val="auto"/>
          <w:sz w:val="28"/>
          <w:szCs w:val="28"/>
          <w:highlight w:val="none"/>
        </w:rPr>
        <w:t xml:space="preserve">23</w:t>
      </w:r>
      <w:r>
        <w:rPr>
          <w:color w:val="auto"/>
          <w:sz w:val="28"/>
          <w:szCs w:val="28"/>
          <w:highlight w:val="none"/>
        </w:rPr>
        <w:fldChar w:fldCharType="end"/>
      </w:r>
      <w:r>
        <w:rPr>
          <w:color w:val="auto"/>
          <w:sz w:val="28"/>
          <w:szCs w:val="28"/>
          <w:highlight w:val="none"/>
        </w:rPr>
        <w:fldChar w:fldCharType="end"/>
      </w:r>
      <w:r/>
    </w:p>
    <w:p>
      <w:pPr>
        <w:pStyle w:val="949"/>
        <w:spacing w:line="360" w:lineRule="auto"/>
        <w:tabs>
          <w:tab w:val="right" w:pos="9746" w:leader="dot"/>
        </w:tabs>
        <w:rPr>
          <w:color w:val="auto"/>
          <w:sz w:val="28"/>
          <w:szCs w:val="28"/>
          <w:highlight w:val="none"/>
        </w:rPr>
      </w:pPr>
      <w:r>
        <w:rPr>
          <w:color w:val="auto"/>
          <w:highlight w:val="none"/>
        </w:rPr>
        <w:fldChar w:fldCharType="begin"/>
      </w:r>
      <w:r>
        <w:rPr>
          <w:color w:val="auto"/>
          <w:highlight w:val="none"/>
        </w:rPr>
        <w:instrText xml:space="preserve"> HYPERLINK \l "_Toc2754" </w:instrText>
      </w:r>
      <w:r>
        <w:rPr>
          <w:color w:val="auto"/>
          <w:highlight w:val="none"/>
        </w:rPr>
        <w:fldChar w:fldCharType="separate"/>
      </w:r>
      <w:r>
        <w:rPr>
          <w:rFonts w:hint="eastAsia" w:ascii="宋体" w:hAnsi="宋体" w:cs="宋体"/>
          <w:bCs/>
          <w:color w:val="auto"/>
          <w:sz w:val="28"/>
          <w:szCs w:val="28"/>
          <w:highlight w:val="none"/>
        </w:rPr>
        <w:t xml:space="preserve">第六章  拟签订的合同文本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_Toc2754 \h </w:instrText>
      </w:r>
      <w:r>
        <w:rPr>
          <w:color w:val="auto"/>
          <w:sz w:val="28"/>
          <w:szCs w:val="28"/>
          <w:highlight w:val="none"/>
        </w:rPr>
        <w:fldChar w:fldCharType="separate"/>
      </w:r>
      <w:r>
        <w:rPr>
          <w:color w:val="auto"/>
          <w:sz w:val="28"/>
          <w:szCs w:val="28"/>
          <w:highlight w:val="none"/>
        </w:rPr>
        <w:t xml:space="preserve">29</w:t>
      </w:r>
      <w:r>
        <w:rPr>
          <w:color w:val="auto"/>
          <w:sz w:val="28"/>
          <w:szCs w:val="28"/>
          <w:highlight w:val="none"/>
        </w:rPr>
        <w:fldChar w:fldCharType="end"/>
      </w:r>
      <w:r>
        <w:rPr>
          <w:color w:val="auto"/>
          <w:sz w:val="28"/>
          <w:szCs w:val="28"/>
          <w:highlight w:val="none"/>
        </w:rPr>
        <w:fldChar w:fldCharType="end"/>
      </w:r>
      <w:r/>
    </w:p>
    <w:p>
      <w:pPr>
        <w:pStyle w:val="949"/>
        <w:spacing w:line="360" w:lineRule="auto"/>
        <w:tabs>
          <w:tab w:val="right" w:pos="9746" w:leader="dot"/>
        </w:tabs>
        <w:rPr>
          <w:color w:val="auto"/>
          <w:sz w:val="28"/>
          <w:szCs w:val="28"/>
          <w:highlight w:val="none"/>
        </w:rPr>
      </w:pPr>
      <w:r>
        <w:rPr>
          <w:color w:val="auto"/>
          <w:highlight w:val="none"/>
        </w:rPr>
        <w:fldChar w:fldCharType="begin"/>
      </w:r>
      <w:r>
        <w:rPr>
          <w:color w:val="auto"/>
          <w:highlight w:val="none"/>
        </w:rPr>
        <w:instrText xml:space="preserve"> HYPERLINK \l "_Toc24368" </w:instrText>
      </w:r>
      <w:r>
        <w:rPr>
          <w:color w:val="auto"/>
          <w:highlight w:val="none"/>
        </w:rPr>
        <w:fldChar w:fldCharType="separate"/>
      </w:r>
      <w:r>
        <w:rPr>
          <w:rFonts w:hint="eastAsia" w:ascii="宋体" w:hAnsi="宋体" w:cs="宋体"/>
          <w:bCs/>
          <w:color w:val="auto"/>
          <w:sz w:val="28"/>
          <w:szCs w:val="28"/>
          <w:highlight w:val="none"/>
        </w:rPr>
        <w:t xml:space="preserve">第七章  投标文件相关格式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_Toc24368 \h </w:instrText>
      </w:r>
      <w:r>
        <w:rPr>
          <w:color w:val="auto"/>
          <w:sz w:val="28"/>
          <w:szCs w:val="28"/>
          <w:highlight w:val="none"/>
        </w:rPr>
        <w:fldChar w:fldCharType="separate"/>
      </w:r>
      <w:r>
        <w:rPr>
          <w:color w:val="auto"/>
          <w:sz w:val="28"/>
          <w:szCs w:val="28"/>
          <w:highlight w:val="none"/>
        </w:rPr>
        <w:t xml:space="preserve">34</w:t>
      </w:r>
      <w:r>
        <w:rPr>
          <w:color w:val="auto"/>
          <w:sz w:val="28"/>
          <w:szCs w:val="28"/>
          <w:highlight w:val="none"/>
        </w:rPr>
        <w:fldChar w:fldCharType="end"/>
      </w:r>
      <w:r>
        <w:rPr>
          <w:color w:val="auto"/>
          <w:sz w:val="28"/>
          <w:szCs w:val="28"/>
          <w:highlight w:val="none"/>
        </w:rPr>
        <w:fldChar w:fldCharType="end"/>
      </w:r>
      <w:r/>
    </w:p>
    <w:p>
      <w:pPr>
        <w:pStyle w:val="932"/>
        <w:spacing w:line="360" w:lineRule="auto"/>
        <w:rPr>
          <w:color w:val="auto"/>
          <w:highlight w:val="none"/>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color w:val="auto"/>
          <w:sz w:val="28"/>
          <w:szCs w:val="28"/>
          <w:highlight w:val="none"/>
        </w:rPr>
        <w:fldChar w:fldCharType="end"/>
      </w:r>
      <w:r/>
    </w:p>
    <w:p>
      <w:pPr>
        <w:jc w:val="center"/>
        <w:spacing w:line="312"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徐州市泉山区市场监督管理局</w:t>
      </w:r>
      <w:r/>
    </w:p>
    <w:p>
      <w:pPr>
        <w:pStyle w:val="1111"/>
        <w:ind w:left="0" w:right="0" w:firstLine="0"/>
        <w:jc w:val="center"/>
        <w:spacing w:line="312" w:lineRule="auto"/>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w:t>
      </w:r>
      <w:r>
        <w:rPr>
          <w:rFonts w:hint="eastAsia" w:ascii="宋体" w:hAnsi="宋体" w:eastAsia="宋体" w:cs="宋体"/>
          <w:b/>
          <w:bCs/>
          <w:color w:val="auto"/>
          <w:szCs w:val="28"/>
          <w:highlight w:val="none"/>
          <w:lang w:eastAsia="zh-CN"/>
        </w:rPr>
        <w:t xml:space="preserve">2025年工业产品质量区级监督抽查抽样检验机构技术服务</w:t>
      </w:r>
      <w:r>
        <w:rPr>
          <w:rFonts w:hint="eastAsia" w:ascii="宋体" w:hAnsi="宋体" w:eastAsia="宋体" w:cs="宋体"/>
          <w:b/>
          <w:bCs/>
          <w:color w:val="auto"/>
          <w:szCs w:val="28"/>
          <w:highlight w:val="none"/>
        </w:rPr>
        <w:t xml:space="preserve">》</w:t>
      </w:r>
      <w:r/>
    </w:p>
    <w:p>
      <w:pPr>
        <w:pStyle w:val="1111"/>
        <w:ind w:left="0" w:right="0" w:firstLine="0"/>
        <w:jc w:val="center"/>
        <w:spacing w:line="312" w:lineRule="auto"/>
        <w:rPr>
          <w:rFonts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招标文件</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ascii="宋体" w:hAnsi="宋体" w:cs="宋体"/>
          <w:b/>
          <w:bCs/>
          <w:color w:val="auto"/>
          <w:sz w:val="32"/>
          <w:szCs w:val="32"/>
          <w:highlight w:val="none"/>
        </w:rPr>
        <w:outlineLvl w:val="0"/>
      </w:pPr>
      <w:r/>
      <w:bookmarkStart w:id="0" w:name="_Toc25213"/>
      <w:r>
        <w:rPr>
          <w:rFonts w:hint="eastAsia" w:ascii="宋体" w:hAnsi="宋体" w:cs="宋体"/>
          <w:b/>
          <w:bCs/>
          <w:color w:val="auto"/>
          <w:sz w:val="32"/>
          <w:szCs w:val="32"/>
          <w:highlight w:val="none"/>
        </w:rPr>
        <w:t xml:space="preserve">第一章  投标邀请</w:t>
      </w:r>
      <w:bookmarkEnd w:id="0"/>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u w:val="single"/>
        </w:rPr>
        <w:t xml:space="preserve">江苏科建工程项目管理有限公司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徐州市泉山区市场监督管理局</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eastAsia="zh-CN"/>
        </w:rPr>
        <w:t xml:space="preserve">2025年工业产品质量区级监督抽查抽样检验机构技术服务</w:t>
      </w:r>
      <w:r>
        <w:rPr>
          <w:rFonts w:hint="eastAsia" w:ascii="宋体" w:hAnsi="宋体" w:cs="宋体"/>
          <w:color w:val="auto"/>
          <w:sz w:val="24"/>
          <w:highlight w:val="none"/>
        </w:rPr>
        <w:t xml:space="preserve">进行公开招标采购，现欢迎符合相关条件的投标人投标。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一、项目名称和项目编号</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2025年工业产品质量区级监督抽查抽样检验机构技术服务</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2、项目编号：</w:t>
      </w:r>
      <w:r>
        <w:rPr>
          <w:rFonts w:hint="eastAsia" w:ascii="宋体" w:hAnsi="宋体" w:cs="宋体"/>
          <w:color w:val="auto"/>
          <w:sz w:val="24"/>
          <w:highlight w:val="none"/>
          <w:lang w:eastAsia="zh-CN"/>
        </w:rPr>
        <w:t xml:space="preserve">JSZC-320311-JSKJ-G2025-0074</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二、投标人的资格要求：</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见本项目公开招标公告。</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三、获取招标文件</w:t>
      </w:r>
      <w:r/>
    </w:p>
    <w:p>
      <w:pPr>
        <w:pStyle w:val="873"/>
        <w:ind w:firstLine="480"/>
        <w:jc w:val="left"/>
        <w:spacing w:line="312"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（1）潜在投标人访问电子招标投标交易平台的网络地址和方法：</w:t>
      </w:r>
      <w:r/>
    </w:p>
    <w:p>
      <w:pPr>
        <w:pStyle w:val="873"/>
        <w:ind w:firstLine="480"/>
        <w:jc w:val="left"/>
        <w:spacing w:line="312"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①登录http://jszfcg.jsczt.cn/。</w:t>
      </w:r>
      <w:r/>
    </w:p>
    <w:p>
      <w:pPr>
        <w:pStyle w:val="873"/>
        <w:ind w:firstLine="482"/>
        <w:jc w:val="left"/>
        <w:spacing w:line="312"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②“CA数字证书”的获取：投标人需办理CA锁，“苏采云”系统目前仅支持“苏采云”系统下的政务CA，省内各地区办理的“苏采云”系统下的政务CA全省通用。</w:t>
      </w:r>
      <w:r>
        <w:rPr>
          <w:rFonts w:hint="eastAsia" w:ascii="宋体" w:hAnsi="宋体"/>
          <w:bCs/>
          <w:color w:val="auto"/>
          <w:sz w:val="24"/>
          <w:highlight w:val="none"/>
        </w:rPr>
        <w:t xml:space="preserve">具体办理指南和操作手册见链接：http://www.ccgp-jiangsu.gov.cn/jiangsu/zlxz/ee/ee3a4bc5a3454aa2b0d9312230633ce9.html</w:t>
      </w:r>
      <w:r>
        <w:rPr>
          <w:rFonts w:hint="eastAsia" w:ascii="宋体" w:hAnsi="宋体" w:cs="宋体"/>
          <w:bCs/>
          <w:color w:val="auto"/>
          <w:sz w:val="24"/>
          <w:szCs w:val="28"/>
          <w:highlight w:val="none"/>
        </w:rPr>
        <w:t xml:space="preserve">。</w:t>
      </w:r>
      <w:r/>
    </w:p>
    <w:p>
      <w:pPr>
        <w:pStyle w:val="873"/>
        <w:ind w:firstLine="480"/>
        <w:jc w:val="left"/>
        <w:spacing w:line="312"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（2）采购代理机构将数据电文形式的招标文件加载至“苏采云”系统，供潜在投标人下载或者查阅。</w:t>
      </w:r>
      <w:r/>
    </w:p>
    <w:p>
      <w:pPr>
        <w:pStyle w:val="873"/>
        <w:ind w:firstLine="480"/>
        <w:jc w:val="left"/>
        <w:spacing w:line="312" w:lineRule="auto"/>
        <w:rPr>
          <w:rFonts w:ascii="宋体" w:hAnsi="宋体" w:cs="宋体"/>
          <w:bCs/>
          <w:color w:val="auto"/>
          <w:sz w:val="24"/>
          <w:szCs w:val="28"/>
          <w:highlight w:val="none"/>
        </w:rPr>
      </w:pPr>
      <w:r>
        <w:rPr>
          <w:rFonts w:hint="eastAsia" w:ascii="宋体" w:hAnsi="宋体" w:cs="宋体"/>
          <w:bCs/>
          <w:color w:val="auto"/>
          <w:sz w:val="24"/>
          <w:szCs w:val="28"/>
          <w:highlight w:val="none"/>
        </w:rPr>
        <w:t xml:space="preserve">（3）售价：免费。</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四、投标有关信息：</w:t>
      </w:r>
      <w:r/>
    </w:p>
    <w:p>
      <w:pPr>
        <w:ind w:left="719" w:hanging="240"/>
        <w:jc w:val="left"/>
        <w:spacing w:line="312" w:lineRule="auto"/>
        <w:rPr>
          <w:rFonts w:ascii="宋体" w:hAnsi="宋体" w:cs="宋体"/>
          <w:b/>
          <w:bCs/>
          <w:color w:val="auto"/>
          <w:sz w:val="24"/>
          <w:highlight w:val="none"/>
        </w:rPr>
      </w:pPr>
      <w:r>
        <w:rPr>
          <w:rFonts w:hint="eastAsia" w:ascii="宋体" w:hAnsi="宋体" w:cs="宋体"/>
          <w:color w:val="auto"/>
          <w:sz w:val="24"/>
          <w:highlight w:val="none"/>
        </w:rPr>
        <w:t xml:space="preserve">1.投标截止时间：</w:t>
      </w:r>
      <w:r>
        <w:rPr>
          <w:rFonts w:hint="eastAsia" w:ascii="宋体" w:hAnsi="宋体" w:cs="宋体"/>
          <w:bCs/>
          <w:color w:val="auto"/>
          <w:sz w:val="24"/>
          <w:szCs w:val="28"/>
          <w:highlight w:val="none"/>
          <w:lang w:eastAsia="zh-CN"/>
        </w:rPr>
        <w:t xml:space="preserve">2025年</w:t>
      </w:r>
      <w:r>
        <w:rPr>
          <w:rFonts w:hint="eastAsia" w:ascii="宋体" w:hAnsi="宋体" w:cs="宋体"/>
          <w:bCs/>
          <w:color w:val="auto"/>
          <w:sz w:val="24"/>
          <w:szCs w:val="28"/>
          <w:highlight w:val="none"/>
          <w:lang w:val="en-US" w:eastAsia="zh-CN"/>
        </w:rPr>
        <w:t xml:space="preserve">12</w:t>
      </w:r>
      <w:r>
        <w:rPr>
          <w:rFonts w:hint="eastAsia" w:ascii="宋体" w:hAnsi="宋体" w:cs="宋体"/>
          <w:bCs/>
          <w:color w:val="auto"/>
          <w:sz w:val="24"/>
          <w:szCs w:val="28"/>
          <w:highlight w:val="none"/>
          <w:lang w:eastAsia="zh-CN"/>
        </w:rPr>
        <w:t xml:space="preserve">月26日</w:t>
      </w:r>
      <w:r>
        <w:rPr>
          <w:rFonts w:hint="eastAsia" w:ascii="宋体" w:hAnsi="宋体" w:cs="宋体"/>
          <w:bCs/>
          <w:color w:val="auto"/>
          <w:sz w:val="24"/>
          <w:szCs w:val="28"/>
          <w:highlight w:val="none"/>
        </w:rPr>
        <w:t xml:space="preserve">09点30分</w:t>
      </w:r>
      <w:r>
        <w:rPr>
          <w:rFonts w:hint="eastAsia" w:ascii="宋体" w:hAnsi="宋体" w:cs="宋体"/>
          <w:color w:val="auto"/>
          <w:sz w:val="24"/>
          <w:highlight w:val="none"/>
        </w:rPr>
        <w:t xml:space="preserve">（北京时间）</w:t>
      </w:r>
      <w:r/>
    </w:p>
    <w:p>
      <w:pPr>
        <w:ind w:left="719" w:hanging="240"/>
        <w:jc w:val="left"/>
        <w:spacing w:line="312" w:lineRule="auto"/>
        <w:rPr>
          <w:rFonts w:ascii="宋体" w:hAnsi="宋体" w:cs="宋体"/>
          <w:b/>
          <w:bCs/>
          <w:color w:val="auto"/>
          <w:sz w:val="24"/>
          <w:highlight w:val="none"/>
        </w:rPr>
      </w:pPr>
      <w:r>
        <w:rPr>
          <w:rFonts w:hint="eastAsia" w:ascii="宋体" w:hAnsi="宋体" w:cs="宋体"/>
          <w:color w:val="auto"/>
          <w:sz w:val="24"/>
          <w:highlight w:val="none"/>
        </w:rPr>
        <w:t xml:space="preserve">2.开标时间：</w:t>
      </w:r>
      <w:r>
        <w:rPr>
          <w:rFonts w:hint="eastAsia" w:ascii="宋体" w:hAnsi="宋体" w:cs="宋体"/>
          <w:bCs/>
          <w:color w:val="auto"/>
          <w:sz w:val="24"/>
          <w:szCs w:val="28"/>
          <w:highlight w:val="none"/>
          <w:lang w:eastAsia="zh-CN"/>
        </w:rPr>
        <w:t xml:space="preserve">2025年</w:t>
      </w:r>
      <w:r>
        <w:rPr>
          <w:rFonts w:hint="eastAsia" w:ascii="宋体" w:hAnsi="宋体" w:cs="宋体"/>
          <w:bCs/>
          <w:color w:val="auto"/>
          <w:sz w:val="24"/>
          <w:szCs w:val="28"/>
          <w:highlight w:val="none"/>
          <w:lang w:val="en-US" w:eastAsia="zh-CN"/>
        </w:rPr>
        <w:t xml:space="preserve">12</w:t>
      </w:r>
      <w:r>
        <w:rPr>
          <w:rFonts w:hint="eastAsia" w:ascii="宋体" w:hAnsi="宋体" w:cs="宋体"/>
          <w:bCs/>
          <w:color w:val="auto"/>
          <w:sz w:val="24"/>
          <w:szCs w:val="28"/>
          <w:highlight w:val="none"/>
          <w:lang w:eastAsia="zh-CN"/>
        </w:rPr>
        <w:t xml:space="preserve">月26日</w:t>
      </w:r>
      <w:r>
        <w:rPr>
          <w:rFonts w:hint="eastAsia" w:ascii="宋体" w:hAnsi="宋体" w:cs="宋体"/>
          <w:bCs/>
          <w:color w:val="auto"/>
          <w:sz w:val="24"/>
          <w:szCs w:val="28"/>
          <w:highlight w:val="none"/>
        </w:rPr>
        <w:t xml:space="preserve">09点30分</w:t>
      </w:r>
      <w:r>
        <w:rPr>
          <w:rFonts w:hint="eastAsia" w:ascii="宋体" w:hAnsi="宋体" w:cs="宋体"/>
          <w:color w:val="auto"/>
          <w:sz w:val="24"/>
          <w:highlight w:val="none"/>
        </w:rPr>
        <w:t xml:space="preserve">（北京时间）</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3.线上开标地点：线上开标地点：“苏采云”系统（网址：http://jszfcg.jsczt.cn/）“开标大厅”。</w:t>
      </w:r>
      <w:r/>
    </w:p>
    <w:p>
      <w:pPr>
        <w:ind w:firstLine="482"/>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五、公告发布媒介：在徐州政府采购网（https://czj.xz.gov.cn/Home/HomeIndex）</w:t>
      </w:r>
      <w:r>
        <w:rPr>
          <w:rFonts w:hint="eastAsia" w:ascii="宋体" w:hAnsi="宋体" w:cs="宋体"/>
          <w:bCs/>
          <w:color w:val="auto"/>
          <w:sz w:val="24"/>
          <w:highlight w:val="none"/>
        </w:rPr>
        <w:t xml:space="preserve">上发布</w:t>
      </w:r>
      <w:r>
        <w:rPr>
          <w:rFonts w:hint="eastAsia" w:ascii="宋体" w:hAnsi="宋体" w:cs="宋体"/>
          <w:color w:val="auto"/>
          <w:sz w:val="24"/>
          <w:highlight w:val="none"/>
        </w:rPr>
        <w:t xml:space="preserve">。</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六、采购人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单位名称：徐州市泉山区市场监督管理局</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单位地址：徐州泉山区建国西路73号</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刘儒颖</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lang w:eastAsia="zh-CN"/>
        </w:rPr>
        <w:t xml:space="preserve">0516-85695967</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七、采购代理机构</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单位名称：江苏科建工程项目管理有限公司</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单位地址：徐州市泉山区软件园路2号</w:t>
      </w:r>
      <w:r/>
    </w:p>
    <w:p>
      <w:pPr>
        <w:ind w:firstLine="480"/>
        <w:jc w:val="lef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eastAsia="zh-CN"/>
        </w:rPr>
        <w:t xml:space="preserve">朱文颖、朱柄昱</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联系电话：0516-85610680</w:t>
      </w:r>
      <w:r/>
    </w:p>
    <w:p>
      <w:pPr>
        <w:spacing w:line="312" w:lineRule="auto"/>
        <w:rPr>
          <w:rFonts w:ascii="宋体" w:hAnsi="宋体" w:cs="宋体"/>
          <w:color w:val="auto"/>
          <w:sz w:val="24"/>
          <w:highlight w:val="none"/>
        </w:rPr>
      </w:pPr>
      <w:r>
        <w:rPr>
          <w:rFonts w:ascii="宋体" w:hAnsi="宋体" w:cs="宋体"/>
          <w:color w:val="auto"/>
          <w:sz w:val="24"/>
          <w:highlight w:val="none"/>
        </w:rPr>
      </w:r>
      <w:r/>
    </w:p>
    <w:p>
      <w:pPr>
        <w:jc w:val="right"/>
        <w:spacing w:line="312"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2025年</w:t>
      </w: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lang w:eastAsia="zh-CN"/>
        </w:rPr>
        <w:t xml:space="preserve">月3日</w:t>
      </w:r>
      <w:r/>
    </w:p>
    <w:p>
      <w:pPr>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jc w:val="center"/>
        <w:rPr>
          <w:rFonts w:ascii="宋体" w:hAnsi="宋体" w:cs="宋体"/>
          <w:b/>
          <w:bCs/>
          <w:color w:val="auto"/>
          <w:sz w:val="32"/>
          <w:szCs w:val="32"/>
          <w:highlight w:val="none"/>
        </w:rPr>
        <w:outlineLvl w:val="0"/>
      </w:pPr>
      <w:r/>
      <w:bookmarkStart w:id="1" w:name="_Toc18613"/>
      <w:r>
        <w:rPr>
          <w:rFonts w:hint="eastAsia" w:ascii="宋体" w:hAnsi="宋体" w:cs="宋体"/>
          <w:b/>
          <w:bCs/>
          <w:color w:val="auto"/>
          <w:sz w:val="32"/>
          <w:szCs w:val="32"/>
          <w:highlight w:val="none"/>
        </w:rPr>
        <w:t xml:space="preserve">第二章  投标人须知</w:t>
      </w:r>
      <w:bookmarkEnd w:id="1"/>
      <w:r/>
      <w:r/>
    </w:p>
    <w:p>
      <w:pPr>
        <w:jc w:val="center"/>
        <w:rPr>
          <w:rFonts w:ascii="宋体" w:hAnsi="宋体" w:cs="宋体"/>
          <w:color w:val="auto"/>
          <w:sz w:val="32"/>
          <w:szCs w:val="32"/>
          <w:highlight w:val="none"/>
        </w:rPr>
      </w:pPr>
      <w:r>
        <w:rPr>
          <w:rFonts w:ascii="宋体" w:hAnsi="宋体" w:cs="宋体"/>
          <w:color w:val="auto"/>
          <w:sz w:val="32"/>
          <w:szCs w:val="32"/>
          <w:highlight w:val="none"/>
        </w:rPr>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rPr>
          <w:rFonts w:ascii="宋体" w:hAnsi="宋体" w:cs="宋体"/>
          <w:color w:val="auto"/>
          <w:sz w:val="32"/>
          <w:szCs w:val="32"/>
          <w:highlight w:val="none"/>
        </w:rPr>
      </w:pPr>
      <w:r>
        <w:rPr>
          <w:rFonts w:hint="eastAsia" w:ascii="宋体" w:hAnsi="宋体" w:cs="宋体"/>
          <w:color w:val="auto"/>
          <w:sz w:val="32"/>
          <w:szCs w:val="32"/>
          <w:highlight w:val="none"/>
        </w:rPr>
        <w:t xml:space="preserve">目录</w:t>
      </w:r>
      <w:r/>
    </w:p>
    <w:p>
      <w:pPr>
        <w:ind w:left="420"/>
        <w:rPr>
          <w:rFonts w:ascii="宋体" w:hAnsi="宋体" w:cs="宋体"/>
          <w:color w:val="auto"/>
          <w:sz w:val="32"/>
          <w:szCs w:val="32"/>
          <w:highlight w:val="none"/>
        </w:rPr>
      </w:pPr>
      <w:r>
        <w:rPr>
          <w:rFonts w:ascii="宋体" w:hAnsi="宋体" w:cs="宋体"/>
          <w:color w:val="auto"/>
          <w:sz w:val="32"/>
          <w:szCs w:val="32"/>
          <w:highlight w:val="none"/>
        </w:rPr>
      </w:r>
      <w:r/>
    </w:p>
    <w:p>
      <w:pPr>
        <w:ind w:left="420"/>
        <w:rPr>
          <w:rFonts w:ascii="宋体" w:hAnsi="宋体" w:cs="宋体"/>
          <w:color w:val="auto"/>
          <w:sz w:val="32"/>
          <w:szCs w:val="32"/>
          <w:highlight w:val="none"/>
        </w:rPr>
      </w:pPr>
      <w:r>
        <w:rPr>
          <w:rFonts w:ascii="宋体" w:hAnsi="宋体" w:cs="宋体"/>
          <w:color w:val="auto"/>
          <w:sz w:val="32"/>
          <w:szCs w:val="32"/>
          <w:highlight w:val="none"/>
        </w:rPr>
      </w:r>
      <w:r/>
    </w:p>
    <w:p>
      <w:pPr>
        <w:ind w:left="1894" w:firstLine="1280"/>
        <w:keepLines w:val="0"/>
        <w:keepNext w:val="0"/>
        <w:pageBreakBefore w:val="0"/>
        <w:spacing w:line="360" w:lineRule="auto"/>
        <w:widowControl w:val="off"/>
        <w:rPr>
          <w:rFonts w:ascii="宋体" w:hAnsi="宋体" w:cs="宋体"/>
          <w:color w:val="auto"/>
          <w:sz w:val="32"/>
          <w:szCs w:val="32"/>
          <w:highlight w:val="none"/>
        </w:rPr>
      </w:pPr>
      <w:r>
        <w:rPr>
          <w:rFonts w:hint="eastAsia" w:ascii="宋体" w:hAnsi="宋体" w:cs="宋体"/>
          <w:color w:val="auto"/>
          <w:sz w:val="32"/>
          <w:szCs w:val="32"/>
          <w:highlight w:val="none"/>
        </w:rPr>
        <w:t xml:space="preserve">一、总则</w:t>
      </w:r>
      <w:r/>
    </w:p>
    <w:p>
      <w:pPr>
        <w:ind w:left="1894" w:firstLine="1280"/>
        <w:keepLines w:val="0"/>
        <w:keepNext w:val="0"/>
        <w:pageBreakBefore w:val="0"/>
        <w:spacing w:line="360" w:lineRule="auto"/>
        <w:widowControl w:val="off"/>
        <w:rPr>
          <w:rFonts w:ascii="宋体" w:hAnsi="宋体" w:cs="宋体"/>
          <w:color w:val="auto"/>
          <w:sz w:val="32"/>
          <w:szCs w:val="32"/>
          <w:highlight w:val="none"/>
        </w:rPr>
      </w:pPr>
      <w:r>
        <w:rPr>
          <w:rFonts w:hint="eastAsia" w:ascii="宋体" w:hAnsi="宋体" w:cs="宋体"/>
          <w:color w:val="auto"/>
          <w:sz w:val="32"/>
          <w:szCs w:val="32"/>
          <w:highlight w:val="none"/>
        </w:rPr>
        <w:t xml:space="preserve">二、招标</w:t>
      </w:r>
      <w:r/>
    </w:p>
    <w:p>
      <w:pPr>
        <w:ind w:left="1894" w:firstLine="1280"/>
        <w:keepLines w:val="0"/>
        <w:keepNext w:val="0"/>
        <w:pageBreakBefore w:val="0"/>
        <w:spacing w:line="360" w:lineRule="auto"/>
        <w:widowControl w:val="off"/>
        <w:rPr>
          <w:rFonts w:ascii="宋体" w:hAnsi="宋体" w:cs="宋体"/>
          <w:color w:val="auto"/>
          <w:sz w:val="32"/>
          <w:szCs w:val="32"/>
          <w:highlight w:val="none"/>
        </w:rPr>
      </w:pPr>
      <w:r>
        <w:rPr>
          <w:rFonts w:hint="eastAsia" w:ascii="宋体" w:hAnsi="宋体" w:cs="宋体"/>
          <w:color w:val="auto"/>
          <w:sz w:val="32"/>
          <w:szCs w:val="32"/>
          <w:highlight w:val="none"/>
        </w:rPr>
        <w:t xml:space="preserve">三、投标</w:t>
      </w:r>
      <w:r/>
    </w:p>
    <w:p>
      <w:pPr>
        <w:ind w:left="1894" w:firstLine="1280"/>
        <w:keepLines w:val="0"/>
        <w:keepNext w:val="0"/>
        <w:pageBreakBefore w:val="0"/>
        <w:spacing w:line="360" w:lineRule="auto"/>
        <w:widowControl w:val="off"/>
        <w:rPr>
          <w:rFonts w:ascii="宋体" w:hAnsi="宋体" w:cs="宋体"/>
          <w:color w:val="auto"/>
          <w:sz w:val="32"/>
          <w:szCs w:val="32"/>
          <w:highlight w:val="none"/>
        </w:rPr>
      </w:pPr>
      <w:r>
        <w:rPr>
          <w:rFonts w:hint="eastAsia" w:ascii="宋体" w:hAnsi="宋体" w:cs="宋体"/>
          <w:color w:val="auto"/>
          <w:sz w:val="32"/>
          <w:szCs w:val="32"/>
          <w:highlight w:val="none"/>
        </w:rPr>
        <w:t xml:space="preserve">四、开标</w:t>
      </w:r>
      <w:r/>
    </w:p>
    <w:p>
      <w:pPr>
        <w:ind w:left="1894" w:firstLine="1280"/>
        <w:keepLines w:val="0"/>
        <w:keepNext w:val="0"/>
        <w:pageBreakBefore w:val="0"/>
        <w:spacing w:line="360" w:lineRule="auto"/>
        <w:widowControl w:val="off"/>
        <w:rPr>
          <w:rFonts w:ascii="宋体" w:hAnsi="宋体" w:cs="宋体"/>
          <w:color w:val="auto"/>
          <w:sz w:val="32"/>
          <w:szCs w:val="32"/>
          <w:highlight w:val="none"/>
        </w:rPr>
      </w:pPr>
      <w:r>
        <w:rPr>
          <w:rFonts w:hint="eastAsia" w:ascii="宋体" w:hAnsi="宋体" w:cs="宋体"/>
          <w:color w:val="auto"/>
          <w:sz w:val="32"/>
          <w:szCs w:val="32"/>
          <w:highlight w:val="none"/>
        </w:rPr>
        <w:t xml:space="preserve">五、评标</w:t>
      </w:r>
      <w:r/>
    </w:p>
    <w:p>
      <w:pPr>
        <w:ind w:left="1894" w:firstLine="1280"/>
        <w:keepLines w:val="0"/>
        <w:keepNext w:val="0"/>
        <w:pageBreakBefore w:val="0"/>
        <w:spacing w:line="360" w:lineRule="auto"/>
        <w:widowControl w:val="off"/>
        <w:rPr>
          <w:rFonts w:ascii="宋体" w:hAnsi="宋体" w:cs="宋体"/>
          <w:color w:val="auto"/>
          <w:sz w:val="32"/>
          <w:szCs w:val="32"/>
          <w:highlight w:val="none"/>
        </w:rPr>
      </w:pPr>
      <w:r>
        <w:rPr>
          <w:rFonts w:hint="eastAsia" w:ascii="宋体" w:hAnsi="宋体" w:cs="宋体"/>
          <w:color w:val="auto"/>
          <w:sz w:val="32"/>
          <w:szCs w:val="32"/>
          <w:highlight w:val="none"/>
        </w:rPr>
        <w:t xml:space="preserve">六、定标</w:t>
      </w:r>
      <w:r/>
    </w:p>
    <w:p>
      <w:pPr>
        <w:ind w:left="1894" w:firstLine="1280"/>
        <w:keepLines w:val="0"/>
        <w:keepNext w:val="0"/>
        <w:pageBreakBefore w:val="0"/>
        <w:spacing w:line="360" w:lineRule="auto"/>
        <w:widowControl w:val="off"/>
        <w:rPr>
          <w:rFonts w:ascii="宋体" w:hAnsi="宋体" w:cs="宋体"/>
          <w:color w:val="auto"/>
          <w:sz w:val="32"/>
          <w:szCs w:val="32"/>
          <w:highlight w:val="none"/>
        </w:rPr>
      </w:pPr>
      <w:r>
        <w:rPr>
          <w:rFonts w:hint="eastAsia" w:ascii="宋体" w:hAnsi="宋体" w:cs="宋体"/>
          <w:color w:val="auto"/>
          <w:sz w:val="32"/>
          <w:szCs w:val="32"/>
          <w:highlight w:val="none"/>
        </w:rPr>
        <w:t xml:space="preserve">七、政府采购合同</w:t>
      </w:r>
      <w:r/>
    </w:p>
    <w:p>
      <w:pPr>
        <w:ind w:left="1894" w:firstLine="1280"/>
        <w:keepLines w:val="0"/>
        <w:keepNext w:val="0"/>
        <w:pageBreakBefore w:val="0"/>
        <w:spacing w:line="360" w:lineRule="auto"/>
        <w:widowControl w:val="off"/>
        <w:rPr>
          <w:rFonts w:ascii="宋体" w:hAnsi="宋体" w:cs="宋体"/>
          <w:color w:val="auto"/>
          <w:sz w:val="32"/>
          <w:szCs w:val="32"/>
          <w:highlight w:val="none"/>
        </w:rPr>
      </w:pPr>
      <w:r>
        <w:rPr>
          <w:rFonts w:hint="eastAsia" w:ascii="宋体" w:hAnsi="宋体" w:cs="宋体"/>
          <w:color w:val="auto"/>
          <w:sz w:val="32"/>
          <w:szCs w:val="32"/>
          <w:highlight w:val="none"/>
        </w:rPr>
        <w:t xml:space="preserve">八、询问和质疑</w:t>
      </w:r>
      <w:r/>
    </w:p>
    <w:p>
      <w:pPr>
        <w:ind w:left="1894" w:firstLine="1280"/>
        <w:keepLines w:val="0"/>
        <w:keepNext w:val="0"/>
        <w:pageBreakBefore w:val="0"/>
        <w:spacing w:line="360" w:lineRule="auto"/>
        <w:widowControl w:val="off"/>
        <w:rPr>
          <w:rFonts w:ascii="宋体" w:hAnsi="宋体" w:cs="宋体"/>
          <w:color w:val="auto"/>
          <w:sz w:val="32"/>
          <w:szCs w:val="32"/>
          <w:highlight w:val="none"/>
        </w:rPr>
      </w:pPr>
      <w:r>
        <w:rPr>
          <w:rFonts w:hint="eastAsia" w:ascii="宋体" w:hAnsi="宋体" w:cs="宋体"/>
          <w:color w:val="auto"/>
          <w:sz w:val="32"/>
          <w:szCs w:val="32"/>
          <w:highlight w:val="none"/>
        </w:rPr>
        <w:t xml:space="preserve">九、电子招标投标交易平台</w:t>
      </w:r>
      <w:r/>
    </w:p>
    <w:p>
      <w:pPr>
        <w:jc w:val="center"/>
        <w:spacing w:line="312" w:lineRule="auto"/>
        <w:rPr>
          <w:rFonts w:ascii="宋体" w:hAnsi="宋体" w:cs="宋体"/>
          <w:color w:val="auto"/>
          <w:sz w:val="32"/>
          <w:szCs w:val="32"/>
          <w:highlight w:val="none"/>
        </w:rPr>
      </w:pPr>
      <w:r>
        <w:rPr>
          <w:rFonts w:hint="eastAsia" w:ascii="宋体" w:hAnsi="宋体" w:cs="宋体"/>
          <w:color w:val="auto"/>
          <w:sz w:val="32"/>
          <w:szCs w:val="32"/>
          <w:highlight w:val="none"/>
        </w:rPr>
        <w:br w:type="page" w:clear="all"/>
      </w:r>
      <w:r>
        <w:rPr>
          <w:rFonts w:hint="eastAsia" w:ascii="宋体" w:hAnsi="宋体" w:cs="宋体"/>
          <w:b/>
          <w:bCs/>
          <w:color w:val="auto"/>
          <w:sz w:val="24"/>
          <w:highlight w:val="none"/>
        </w:rPr>
        <w:t xml:space="preserve">一、总则</w:t>
      </w:r>
      <w:r/>
    </w:p>
    <w:p>
      <w:pPr>
        <w:ind w:firstLine="420"/>
        <w:spacing w:line="312" w:lineRule="auto"/>
        <w:rPr>
          <w:rFonts w:ascii="宋体" w:hAnsi="宋体" w:cs="宋体"/>
          <w:color w:val="auto"/>
          <w:sz w:val="24"/>
          <w:highlight w:val="none"/>
        </w:rPr>
      </w:pPr>
      <w:r>
        <w:rPr>
          <w:rFonts w:hint="eastAsia" w:ascii="宋体" w:hAnsi="宋体" w:cs="宋体"/>
          <w:color w:val="auto"/>
          <w:sz w:val="24"/>
          <w:highlight w:val="none"/>
        </w:rPr>
        <w:t xml:space="preserve">（一）采购人。采购人是指依法进行政府采购的国家机关、事业单位、团体组织。</w:t>
      </w:r>
      <w:r/>
    </w:p>
    <w:p>
      <w:pPr>
        <w:ind w:firstLine="42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（二）政府采购方式。政府采购货物或者服务（以下简称“货物服务”）招标分为公开招标和邀请招标。</w:t>
      </w:r>
      <w:r/>
    </w:p>
    <w:p>
      <w:pPr>
        <w:ind w:firstLine="42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ascii="宋体" w:hAnsi="宋体" w:cs="宋体"/>
          <w:color w:val="auto"/>
          <w:sz w:val="24"/>
          <w:highlight w:val="none"/>
        </w:rPr>
      </w:pPr>
      <w:r>
        <w:rPr>
          <w:rFonts w:hint="eastAsia" w:ascii="宋体" w:hAnsi="宋体" w:cs="宋体"/>
          <w:color w:val="auto"/>
          <w:sz w:val="24"/>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ascii="宋体" w:hAnsi="宋体" w:cs="宋体"/>
          <w:color w:val="auto"/>
          <w:sz w:val="24"/>
          <w:highlight w:val="none"/>
        </w:rPr>
      </w:pPr>
      <w:r>
        <w:rPr>
          <w:rFonts w:hint="eastAsia" w:ascii="宋体" w:hAnsi="宋体" w:cs="宋体"/>
          <w:color w:val="auto"/>
          <w:sz w:val="24"/>
          <w:highlight w:val="none"/>
        </w:rPr>
        <w:t xml:space="preserve">（六）投标人的资格条件</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1.参加采购货物服务投标活动的投标人（以下简称“投标人”），应当是提供本国货物服务的本国投标人，但法律、行政法规规定外国投标人可以参加货物服务招标投标活动的除外。</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投标人，是指响应招标、参加投标竞争的法人、其他组织或者自然人。</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2.投标人授权代表系指法定代表人或受法人委托的受托人。</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（七）投标费用：投标人应承担所有与准备和参加投标有关的费用。无论投标的结果如何，采购代理机构对上述费用不承担任何责任和义务。</w:t>
      </w:r>
      <w:r/>
    </w:p>
    <w:p>
      <w:pPr>
        <w:jc w:val="center"/>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二、招标</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（八）招标文件的内容</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1.招标文件包括以下内容：</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第一章 投标邀请</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第二章 投标人须知</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第三章 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第四章 评标标准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第五章 拟签订的合同文本</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第六章 采购需求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第七章 投标文件相关格式</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3.样品 本项目对样品的要求：见招标文件第三章《投标资料表》。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（九）招标文件澄清或者修改</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2.现场考察以招标文件第三章《投标资料表》中的要求为准。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3.开标前答疑会以招标文件第三章《投标资料表》中的要求为准。</w:t>
      </w:r>
      <w:r/>
    </w:p>
    <w:p>
      <w:pPr>
        <w:jc w:val="center"/>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三、投标</w:t>
      </w:r>
      <w:r/>
    </w:p>
    <w:p>
      <w:pPr>
        <w:spacing w:line="312" w:lineRule="auto"/>
        <w:rPr>
          <w:rFonts w:ascii="宋体" w:hAnsi="宋体" w:cs="宋体"/>
          <w:color w:val="auto"/>
          <w:sz w:val="24"/>
          <w:highlight w:val="none"/>
        </w:rPr>
      </w:pPr>
      <w:r>
        <w:rPr>
          <w:rFonts w:hint="eastAsia" w:ascii="宋体" w:hAnsi="宋体" w:cs="宋体"/>
          <w:color w:val="auto"/>
          <w:sz w:val="24"/>
          <w:highlight w:val="none"/>
        </w:rPr>
        <w:t xml:space="preserve">    （十）投标人应当按照招标文件的要求编制投标文件。投标文件应对招标文件提出的要求和条件作出实质性响应。</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（十二）投标文件的构成</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1.投标文件的构成以招标文件第三章《投标资料表》中的要求为准。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2.投标人应当提交的资格、资信证明文件：以招标文件第三章《投标资料表》中的要求为准。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（十三）投标函和价格表、商务条件、交货和提供服务的时间</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1.投标函和价格表：要求见本章12、13，格式见招标文件第七章《投标文件相关格式》中《投标函》和《开标一览表》。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2.商务条件：以招标文件第三章《投标资料表》中的要求为准。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3.交货和提供服务的时间：以招标文件第三章《投标资料表》中的要求为准。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（十四）投标报价要求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1.投标人应按照招标文件的要求报出分项价格和总价。</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2.投标人应按照招标文件的要求进行报价，如投标人作出偏离，应在《偏离表》中列出。</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3.采购人不支付报价以外的任何费用。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5.投标人只能提交一个投标价格，投标人提交多个价格的投标文件在资格性、符合性检查时按照无效投标处理。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（十五）投标货币。以招标文件第三章《投标资料表》中的要求为准。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（十六）投标有效期</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1.投标有效期为开标之日后90天。采购人可以要求对投标有效期延长一次，但该延长期最长不超过30天。</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2.采购人应在距投标有效期满30日之前书面通知投标人，要求其延长投标有效期。如果有关投标人同意延长投标有效期的要求，其应在原投标有效期期满前以书面形式向采购人确认。</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3.如果采购人发出要求投标有效期延长的通知并在投标有效期届满前没有收到投标人同意其投标有效期延长的书面通知，则视为该投标人不接受上述延期的要求。投标人不接受延长投标有效期的要求。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（十七）本项目为电子投标，电子投标文件编制要求和签署要求：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（1）电子招标投标交易平台（即“苏采云”系统）相关要求是本招标文件的组成部分。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（2）投标人应由其法定代表人或法定代表人授权代表在规定的网上投标时间，凭 CA 证书登陆“苏采云”系统在线编制投标文件（电子数据），并在投标截止时间之前上传投标文件。</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（3）投标人应对CA证书妥善保管，如被他人盗用投标，因此带来的结果均由投标人自行承担。</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（4）投标人应当对招标文件提出的要求和条件作出实质性响应，并在电子投标系统逐条应答。</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（5）投标人应对要求提供的资格证明文件（如资质证书、资格证书）、技术资料（如白皮书、彩页、手册、检测报告等）扫描上传至投标系统。</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（6）投标文件的份数：详见招标文件第三章《投标资料表》。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（7）投标文件的退还：详见招标文件第三章《投标资料表》。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（8）投标文件中承诺的投标有效期应当不少于招标文件中载明的投标有效期。</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（十八）线上投标文件的密封、签署、盖章要求：以本文件第三章《投标资料表》中所提要求为准。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（十九）投标文件递交要求：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1、投标人应当在招标文件要求的提交投标文件的截止时间前，将电子投标文件提交至“苏采云”系统，逾期提交的投标文件，“苏采云”系统将自动拒收。详见招标文件第三章《投标资料表》。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2、各投标人应在规定时间内通过CA证书进行网上解密，投标人未在规定时间内解密电子投标文件的，所导致的一切后果均由投标人承担。</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（二十）提交投标文件的截止时间（投标截止时间）</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在招标文件要求提交投标文件的截止时间之后送达的投标文件，为无效投标文件，采购代理机构应当拒收。</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（二十一）提交投标文件的截止时间和收到投标文件后注意事项：</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投标人在投标截止时间前，可以对所递交的投标文件进行补充、修改或者撤回。</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（二十二）本项目不允许分包。</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在评标过程中发现投标人有上述情形的，评标委员会应当认定其投标无效，并书面报告本级财政部门。</w:t>
      </w:r>
      <w:r/>
    </w:p>
    <w:p>
      <w:pPr>
        <w:ind w:firstLine="482"/>
        <w:jc w:val="left"/>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（二十四）有下列情形之一的，其投标无效：</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1.不同投标人委托同一单位或者个人办理投标事宜的；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2.不同投标人的投标文件中，所载明的项目管理成员或联系人为同一人；</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3.不同投标人的投标文件，异常一致或者投标报价呈规律性差异；</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4.不同投标人的单位负责人为同一人或者存在直接控股、管理关系的；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5.不同投标人投标文件内容存在非正常一致、项目组成员出现同一人、投标文件中错误（或异常）一致或雷同、电子文档信息一致或雷同的、投标报价呈规律性差异的；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6.投标文件未按招标文件规定的内容和要求填写的；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7.投标文件未按招标文件要求签署、盖章的；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8.不具备招标文件中规定的资格要求或未按招标文件规定的要求提供资格、资信证明文件的；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9.项目（标段）投标总价超过本项目（标段）预算或最高限价的；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10.投标文件含有采购人不能接受的附加条件的；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11.投标人的法定代表人授权代表，无法定代表人授权委托书的；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12.被列入“信用中国”网站（www.creditchina.gov.cn）失信被执行人、重大税收违法案件 当事人名单、政府采购严重违法失信行为记录名单的；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13.投标文件中有招标文件未允许提供的选择性内容；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14.提供虚假材料的（包括工商营业执照、财务报表、资格证明文件等）；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15.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16.除单一来源采购项目外，为采购项目提供整体设计、规范编制或者项目管理、监理、检测等服务的；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17.投标文件内容不全或不符合招标文件中规定的其它实质性要求的； </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18.投标人未在规定时间内解密电子投标文件的；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19.投标文件未按招标文件规定的内容和要求填写的；没有在投标系统指定位置上传对应文件、材料的；</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20.法律法规和招标文件规定的其它无效情形。 </w:t>
      </w:r>
      <w:r/>
    </w:p>
    <w:p>
      <w:pPr>
        <w:jc w:val="center"/>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四、开标</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（二十五）开标：</w:t>
      </w:r>
      <w:r/>
    </w:p>
    <w:p>
      <w:pPr>
        <w:ind w:firstLine="480"/>
        <w:spacing w:line="312" w:lineRule="auto"/>
        <w:rPr>
          <w:rFonts w:ascii="宋体" w:hAnsi="宋体" w:cs="宋体"/>
          <w:b/>
          <w:color w:val="auto"/>
          <w:sz w:val="24"/>
          <w:highlight w:val="none"/>
        </w:rPr>
      </w:pPr>
      <w:r>
        <w:rPr>
          <w:rFonts w:hint="eastAsia" w:ascii="宋体" w:hAnsi="宋体" w:cs="宋体"/>
          <w:bCs/>
          <w:iCs/>
          <w:color w:val="auto"/>
          <w:sz w:val="24"/>
          <w:highlight w:val="none"/>
        </w:rPr>
        <w:t xml:space="preserve">1.开标由</w:t>
      </w:r>
      <w:r>
        <w:rPr>
          <w:rFonts w:hint="eastAsia" w:ascii="宋体" w:hAnsi="宋体" w:cs="宋体"/>
          <w:color w:val="auto"/>
          <w:sz w:val="24"/>
          <w:highlight w:val="none"/>
        </w:rPr>
        <w:t xml:space="preserve">采购人或</w:t>
      </w:r>
      <w:r>
        <w:rPr>
          <w:rFonts w:hint="eastAsia" w:ascii="宋体" w:hAnsi="宋体" w:cs="宋体"/>
          <w:bCs/>
          <w:iCs/>
          <w:color w:val="auto"/>
          <w:sz w:val="24"/>
          <w:highlight w:val="none"/>
        </w:rPr>
        <w:t xml:space="preserve">采购代理机构主持，邀请投标人参加。</w:t>
      </w:r>
      <w:r>
        <w:rPr>
          <w:rFonts w:hint="eastAsia" w:ascii="宋体" w:hAnsi="宋体" w:cs="宋体"/>
          <w:color w:val="auto"/>
          <w:sz w:val="24"/>
          <w:highlight w:val="none"/>
        </w:rPr>
        <w:t xml:space="preserve">开标应当在招标文件确定的提交投标文件截止时间的同一时间进行。开标地点应当为招标文件中预先确定的地点。开标时间及地点：详见招标文件第三章《投标资料表》。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2.所有投标单位携带CA证书到达招标文件规定的开标地点，在到达开标时间时，解密各自投标文件，由工作人员操作系统进行开标、并宣读各投标人的《开标一览表》；招标文件规定的需要宣布的内容：详见招标文件第三章《投标资料表》。</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4.所有投标单位使用 CA 证书在开标时间时，解密各自投标文件，由工作人员操作系统进行开标，投标人不足3家的，不得评标。</w:t>
      </w:r>
      <w:r/>
    </w:p>
    <w:p>
      <w:pPr>
        <w:pStyle w:val="1111"/>
        <w:ind w:left="0" w:right="0" w:firstLine="480"/>
        <w:spacing w:line="312"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5.投标人原因造成投标文件未解密的，视为撤销其投标文件；因投标人之外的原因造成投标文件未解密的，视为撤回其投标文件。部分投标文件未解密的，其他投标文件的开标可以继续进行。</w:t>
      </w:r>
      <w:r/>
    </w:p>
    <w:p>
      <w:pPr>
        <w:pStyle w:val="1111"/>
        <w:ind w:left="0" w:right="0" w:firstLine="480"/>
        <w:spacing w:line="312"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6.开标时，投标文件中开标一览表内容与投标文件中明细表内容不一致的，以开标一览表为准。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7.开标过程由采购代理机构负责记录，由参加开标的相关工作人员签字确认后随采购文件一并存档。</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8.投标人代表对开标过程和开标记录有疑义，以及认为采购人、采购代理机构相关工作人员有需要回避的情形的，应当场提出询问或者回避申请。</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9.投标人未参加开标的，视同认可开标结果。</w:t>
      </w:r>
      <w:r/>
    </w:p>
    <w:p>
      <w:pPr>
        <w:jc w:val="center"/>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五、评标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（二十六）公开招标采购项目开标结束后，采购人依法对投标人的资格进行审查。合格投标人不足3家的，不得评标。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1.评标工作由采购代理机构负责组织，并履行下列职责：</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（2）宣布评标纪律；</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（3）公布投标人名单，告知评审专家应当回避的情形；</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（4）组织评标委员会推选评标组长，采购人代表不得担任组长；</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（5）在评标期间采取必要的通讯管理措施，保证评标活动不受外界干扰；</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（6）根据评标委员会的要求介绍政府采购相关政策法规、招标文件；</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（8）核对评标结果，有《</w:t>
      </w:r>
      <w:r>
        <w:rPr>
          <w:color w:val="auto"/>
          <w:highlight w:val="none"/>
        </w:rPr>
        <w:fldChar w:fldCharType="begin"/>
      </w:r>
      <w:r>
        <w:rPr>
          <w:color w:val="auto"/>
          <w:highlight w:val="none"/>
        </w:rPr>
        <w:instrText xml:space="preserve"> HYPERLINK "http://www.caigou2003.com/" \t "_blank" </w:instrText>
      </w:r>
      <w:r>
        <w:rPr>
          <w:color w:val="auto"/>
          <w:highlight w:val="none"/>
        </w:rPr>
        <w:fldChar w:fldCharType="separate"/>
      </w:r>
      <w:r>
        <w:rPr>
          <w:rFonts w:hint="eastAsia" w:ascii="宋体" w:hAnsi="宋体" w:cs="宋体"/>
          <w:color w:val="auto"/>
          <w:sz w:val="24"/>
          <w:highlight w:val="none"/>
        </w:rPr>
        <w:t xml:space="preserve">政府采购</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（10）处理与评标有关的其他事项。</w:t>
      </w:r>
      <w:r/>
    </w:p>
    <w:p>
      <w:pPr>
        <w:ind w:firstLine="36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采购人可以在评标前说明项目背景和采购需求，说明内容不得含有歧视性、倾向性意见，不得超出招标文件所述范围。说明应当提交书面材料，并随采购文件一并存档。</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2.评标委员会负责具体评标事务，并独立履行下列职责：</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（1）审查、评价投标文件是否符合招标文件的商务、技术等实质性要求；</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（2）要求投标人对投标文件有关事项作出澄清或者说明；</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（3）对投标文件进行比较和评价；</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（4）确定中标候选人名单，以及根据采购人委托直接确定中标人；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（5）向采购人、采购代理机构或者有关部门报告评标中发现的违法行为。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（二十七）评标方法、评标标准。评标方法分为最低评标价法和综合评分法。</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（二十八）评标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1.评标工作程序：</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（1）投标文件初审。</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①资格性审查。</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②符合性审查。</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（2）澄清有关问题。</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（3）比较与评价。</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（4）推荐中标候选投标人名单。</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（5）编写评审报告（评标报告）。</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3.采用</w:t>
      </w:r>
      <w:r>
        <w:rPr>
          <w:color w:val="auto"/>
          <w:highlight w:val="none"/>
        </w:rPr>
        <w:fldChar w:fldCharType="begin"/>
      </w:r>
      <w:r>
        <w:rPr>
          <w:color w:val="auto"/>
          <w:highlight w:val="none"/>
        </w:rPr>
        <w:instrText xml:space="preserve"> HYPERLINK "http://lilun.caigou2003.com/recijiedu/2365668.html" \t "_blank" </w:instrText>
      </w:r>
      <w:r>
        <w:rPr>
          <w:color w:val="auto"/>
          <w:highlight w:val="none"/>
        </w:rPr>
        <w:fldChar w:fldCharType="separate"/>
      </w:r>
      <w:r>
        <w:rPr>
          <w:rFonts w:hint="eastAsia" w:ascii="宋体" w:hAnsi="宋体" w:cs="宋体"/>
          <w:color w:val="auto"/>
          <w:sz w:val="24"/>
          <w:highlight w:val="none"/>
        </w:rPr>
        <w:t xml:space="preserve">最低评标价法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hint="eastAsia" w:ascii="宋体" w:hAnsi="宋体" w:cs="宋体"/>
          <w:color w:val="auto"/>
          <w:sz w:val="24"/>
          <w:highlight w:val="none"/>
        </w:rPr>
        <w:t xml:space="preserve">综合评分法</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非单一产品采购项目，多家投标人提供的核心产品品牌相同的，按前两款规定处理。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（二十九）投标文件报价出现前后不一致的，按照下列规定修正：</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1.投标文件中开标一览表（报价表）内容与投标文件中相应内容不一致的，以开标一览表（报价表）为准；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2.大写金额和小写金额不一致的，以大写金额为准；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3.单价金额小数点或者百分比有明显错位的，以开标一览表的总价为准，并修改单价；</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4.总价金额与按单价合计金额不一致的，以单价金额计算结果为准。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根据《关于推动解决政府采购异常低价问题相关工作的通知》（苏财购〔2025〕62号）精神，政府采购评审中出现下列情形之一的，评审委员会应当启动异常低价投标（响应）审查程序：</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（1）投标（响应）报价低于采购项目预算 50%的，即投标（响应）报价＜采购项目预算 ×50%；</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（2）投标（响应）报价低于采购项目最高限价45%的，即投标（响应）报价＜采购项目最高限价 ×45%；</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（3）评审委员会认定的供应商报价过低、有可能影响产品质量或者不能诚信履约的其他情形。</w:t>
      </w:r>
      <w:r/>
    </w:p>
    <w:p>
      <w:pPr>
        <w:ind w:firstLine="480"/>
        <w:jc w:val="left"/>
        <w:spacing w:line="312" w:lineRule="auto"/>
        <w:rPr>
          <w:rFonts w:hint="eastAsia" w:ascii="宋体" w:hAnsi="宋体" w:cs="宋体"/>
          <w:color w:val="auto"/>
          <w:sz w:val="24"/>
          <w:highlight w:val="none"/>
        </w:rPr>
      </w:pPr>
      <w:r>
        <w:rPr>
          <w:rFonts w:hint="eastAsia" w:ascii="宋体" w:hAnsi="宋体" w:cs="宋体"/>
          <w:color w:val="auto"/>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（三十二）废标条款：</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出现下列情形之一的，应予废标：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1.符合专业条件的投标人或者对招标文件作实质响应的投标人不足三家的；</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2.出现影响采购公正的违法、违规行为的；</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3.投标人的报价均超过了采购预算，采购人不能支付的；</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4.因重大变故，采购任务取消的。</w:t>
      </w:r>
      <w:r/>
    </w:p>
    <w:p>
      <w:pPr>
        <w:jc w:val="center"/>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六、定标</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（三十三）采购代理机构应当在评标结束后2个工作日内将评标报告送采购人。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（三十四）采购人应当自收到评标报告之日起5个工作日内，在评标报告确定的中标候选人名单中按顺序确定中标人。</w:t>
      </w:r>
      <w:r/>
    </w:p>
    <w:p>
      <w:pPr>
        <w:ind w:firstLine="482"/>
        <w:spacing w:line="312" w:lineRule="auto"/>
        <w:rPr>
          <w:rFonts w:ascii="宋体" w:hAnsi="宋体" w:cs="宋体"/>
          <w:color w:val="auto"/>
          <w:sz w:val="24"/>
          <w:highlight w:val="none"/>
        </w:rPr>
      </w:pPr>
      <w:r>
        <w:rPr>
          <w:rFonts w:hint="eastAsia" w:ascii="宋体" w:hAnsi="宋体" w:cs="宋体"/>
          <w:color w:val="auto"/>
          <w:sz w:val="24"/>
          <w:highlight w:val="none"/>
        </w:rPr>
        <w:t xml:space="preserve">中标结果公告发布媒介：在徐州政府采购网（https://czj.xz.gov.cn/Home/HomeIndex）</w:t>
      </w:r>
      <w:r>
        <w:rPr>
          <w:rFonts w:hint="eastAsia" w:ascii="宋体" w:hAnsi="宋体" w:cs="宋体"/>
          <w:bCs/>
          <w:color w:val="auto"/>
          <w:sz w:val="24"/>
          <w:highlight w:val="none"/>
        </w:rPr>
        <w:t xml:space="preserve">上发布</w:t>
      </w:r>
      <w:r>
        <w:rPr>
          <w:rFonts w:hint="eastAsia" w:ascii="宋体" w:hAnsi="宋体" w:cs="宋体"/>
          <w:color w:val="auto"/>
          <w:sz w:val="24"/>
          <w:highlight w:val="none"/>
        </w:rPr>
        <w:t xml:space="preserve">。</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五）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jc w:val="center"/>
        <w:spacing w:line="312" w:lineRule="auto"/>
        <w:rPr>
          <w:rFonts w:ascii="宋体" w:hAnsi="宋体" w:cs="宋体"/>
          <w:b/>
          <w:bCs/>
          <w:color w:val="auto"/>
          <w:sz w:val="24"/>
          <w:highlight w:val="none"/>
        </w:rPr>
      </w:pPr>
      <w:r>
        <w:rPr>
          <w:rFonts w:hint="eastAsia" w:ascii="宋体" w:hAnsi="宋体" w:cs="宋体"/>
          <w:b/>
          <w:bCs/>
          <w:color w:val="auto"/>
          <w:sz w:val="24"/>
          <w:highlight w:val="none"/>
        </w:rPr>
        <w:t xml:space="preserve">七、政府采购合同</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（三十六）签订政府采购合同（合同签订方式）</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采购人不得向中标人提出任何不合理的要求作为签订合同的条件。</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2.中标或者成交投标人拒绝与采购人签订合同的，采购人可以按照评审报告推荐的中标或者成交候选人名单排序，确定下一个候选人为中标或者成交投标人，也可以重新开展政府采购活动。</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（三十八）履约保证金</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1.中标人应当在签订采购合同前，向采购人提交本文件第三章《投标资料表》中规定金额的履约保证金。</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（三十九）腐败和欺诈行为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（1）腐败和欺诈行为的含义：</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（2）如果被推荐的中标人有腐败和欺诈行为，将取消其中标资格。</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2.投标人应注意《合同通用条款》关于腐败和欺诈行为的相关规定。</w:t>
      </w:r>
      <w:r/>
    </w:p>
    <w:p>
      <w:pPr>
        <w:ind w:firstLine="482"/>
        <w:jc w:val="center"/>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八、询问和质疑</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（四十）询问和质疑</w:t>
      </w:r>
      <w:r/>
    </w:p>
    <w:p>
      <w:pPr>
        <w:ind w:firstLine="480"/>
        <w:jc w:val="left"/>
        <w:spacing w:line="312" w:lineRule="auto"/>
        <w:rPr>
          <w:rFonts w:ascii="宋体" w:hAnsi="宋体" w:cs="宋体"/>
          <w:color w:val="auto"/>
          <w:sz w:val="24"/>
          <w:highlight w:val="none"/>
        </w:rPr>
      </w:pPr>
      <w:r>
        <w:rPr>
          <w:rFonts w:hint="eastAsia" w:ascii="宋体" w:hAnsi="宋体" w:cs="宋体"/>
          <w:color w:val="auto"/>
          <w:sz w:val="24"/>
          <w:highlight w:val="none"/>
        </w:rPr>
        <w:t xml:space="preserve">投标人对政府采购活动事项有疑问的，向采购代理机构提出询问；投标人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ascii="宋体" w:hAnsi="宋体" w:cs="宋体"/>
          <w:b/>
          <w:color w:val="auto"/>
          <w:sz w:val="24"/>
          <w:highlight w:val="none"/>
        </w:rPr>
      </w:pPr>
      <w:r>
        <w:rPr>
          <w:rFonts w:hint="eastAsia" w:ascii="宋体" w:hAnsi="宋体" w:cs="宋体"/>
          <w:b/>
          <w:color w:val="auto"/>
          <w:sz w:val="24"/>
          <w:highlight w:val="none"/>
        </w:rPr>
        <w:t xml:space="preserve">九、电子招标投标交易平台</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（四十一）电子招标投标交易平台（即“苏采云”系统，网址：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）相关要求是本招标文件的组成部分。</w:t>
      </w:r>
      <w:r/>
    </w:p>
    <w:p>
      <w:pPr>
        <w:ind w:firstLine="480"/>
        <w:spacing w:line="312" w:lineRule="auto"/>
        <w:rPr>
          <w:rFonts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ascii="宋体" w:hAnsi="宋体" w:cs="宋体"/>
          <w:b/>
          <w:bCs/>
          <w:color w:val="auto"/>
          <w:sz w:val="32"/>
          <w:szCs w:val="32"/>
          <w:highlight w:val="none"/>
        </w:rPr>
        <w:outlineLvl w:val="0"/>
      </w:pPr>
      <w:r>
        <w:rPr>
          <w:rFonts w:hint="eastAsia" w:ascii="宋体" w:hAnsi="宋体" w:cs="宋体"/>
          <w:color w:val="auto"/>
          <w:sz w:val="32"/>
          <w:szCs w:val="32"/>
          <w:highlight w:val="none"/>
        </w:rPr>
        <w:br w:type="page" w:clear="all"/>
      </w:r>
      <w:bookmarkStart w:id="2" w:name="_Toc31944"/>
      <w:r>
        <w:rPr>
          <w:rFonts w:hint="eastAsia" w:ascii="宋体" w:hAnsi="宋体" w:cs="宋体"/>
          <w:b/>
          <w:bCs/>
          <w:color w:val="auto"/>
          <w:sz w:val="32"/>
          <w:szCs w:val="32"/>
          <w:highlight w:val="none"/>
        </w:rPr>
        <w:t xml:space="preserve">第三章  投标资料表</w:t>
      </w:r>
      <w:bookmarkEnd w:id="2"/>
      <w:r/>
      <w:r/>
    </w:p>
    <w:p>
      <w:pPr>
        <w:pStyle w:val="1127"/>
        <w:ind w:firstLine="480"/>
        <w:rPr>
          <w:rFonts w:ascii="宋体" w:hAnsi="宋体" w:eastAsia="宋体" w:cs="宋体"/>
          <w:color w:val="auto"/>
          <w:sz w:val="24"/>
          <w:highlight w:val="none"/>
        </w:rPr>
      </w:pPr>
      <w:r>
        <w:rPr>
          <w:rFonts w:hint="eastAsia" w:ascii="宋体" w:hAnsi="宋体" w:eastAsia="宋体" w:cs="宋体"/>
          <w:color w:val="auto"/>
          <w:sz w:val="24"/>
          <w:highlight w:val="none"/>
        </w:rPr>
        <w:t xml:space="preserve">该资料表的条款项号是与《投标人须知》中条款项号对应的，或增加的条款，是对《投标人须知》的补充、修改和完善，如果有矛盾的话，应以本资料表为准。</w:t>
      </w:r>
      <w:r/>
    </w:p>
    <w:p>
      <w:pPr>
        <w:rPr>
          <w:rFonts w:ascii="宋体" w:hAnsi="宋体" w:cs="宋体"/>
          <w:color w:val="auto"/>
          <w:highlight w:val="none"/>
        </w:rPr>
      </w:pPr>
      <w:r>
        <w:rPr>
          <w:rFonts w:ascii="宋体" w:hAnsi="宋体" w:cs="宋体"/>
          <w:color w:val="auto"/>
          <w:highlight w:val="none"/>
        </w:rPr>
      </w:r>
      <w:r/>
    </w:p>
    <w:tbl>
      <w:tblPr>
        <w:tblStyle w:val="805"/>
        <w:tblW w:w="9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397"/>
        </w:trPr>
        <w:tc>
          <w:tcPr>
            <w:tcW w:w="126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条款项号</w:t>
            </w:r>
            <w:r/>
          </w:p>
        </w:tc>
        <w:tc>
          <w:tcPr>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内容</w:t>
            </w:r>
            <w:r/>
          </w:p>
        </w:tc>
      </w:tr>
      <w:tr>
        <w:trPr>
          <w:jc w:val="center"/>
          <w:trHeight w:val="397"/>
        </w:trPr>
        <w:tc>
          <w:tcPr>
            <w:tcW w:w="126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一、总则</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(一)</w:t>
            </w:r>
            <w:r/>
          </w:p>
        </w:tc>
        <w:tc>
          <w:tcPr>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本项目采购人：徐州市泉山区市场监督管理局</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(二)</w:t>
            </w:r>
            <w:r/>
          </w:p>
        </w:tc>
        <w:tc>
          <w:tcPr>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本次采购采用的政府采购方式：公开招标</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(四)</w:t>
            </w:r>
            <w:r/>
          </w:p>
        </w:tc>
        <w:tc>
          <w:tcPr>
            <w:tcW w:w="8730" w:type="dxa"/>
            <w:vAlign w:val="center"/>
            <w:textDirection w:val="lrTb"/>
            <w:noWrap w:val="false"/>
          </w:tcPr>
          <w:p>
            <w:pPr>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采购人确定的采购项目属性：服务</w:t>
            </w:r>
            <w:r/>
          </w:p>
          <w:p>
            <w:pPr>
              <w:spacing w:line="264"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本项目是否为专门面向中小微企业采购的项目：</w:t>
            </w:r>
            <w:r>
              <w:rPr>
                <w:rFonts w:hint="eastAsia" w:ascii="宋体" w:hAnsi="宋体" w:cs="宋体"/>
                <w:color w:val="auto"/>
                <w:sz w:val="24"/>
                <w:szCs w:val="24"/>
                <w:highlight w:val="none"/>
                <w:lang w:eastAsia="zh-CN"/>
              </w:rPr>
              <w:t xml:space="preserve">是</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(五)</w:t>
            </w:r>
            <w:r/>
          </w:p>
        </w:tc>
        <w:tc>
          <w:tcPr>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本项目采购代理机构：江苏科建工程项目管理有限公司</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(六)</w:t>
            </w:r>
            <w:r/>
          </w:p>
        </w:tc>
        <w:tc>
          <w:tcPr>
            <w:tcW w:w="8730" w:type="dxa"/>
            <w:vAlign w:val="center"/>
            <w:textDirection w:val="lrTb"/>
            <w:noWrap w:val="false"/>
          </w:tcPr>
          <w:p>
            <w:pPr>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投标人的资格条件：</w:t>
            </w:r>
            <w:r/>
          </w:p>
          <w:p>
            <w:pPr>
              <w:spacing w:line="264"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一、符合《中华人民共和国政府采购法》第二十二条的规定；</w:t>
            </w:r>
            <w:r/>
          </w:p>
          <w:p>
            <w:pPr>
              <w:spacing w:line="264"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二、落实政府采购政策需满足的资格要求：</w:t>
            </w:r>
            <w:r>
              <w:rPr>
                <w:rFonts w:hint="eastAsia" w:ascii="宋体" w:hAnsi="宋体" w:cs="宋体"/>
                <w:b w:val="0"/>
                <w:bCs w:val="0"/>
                <w:color w:val="auto"/>
                <w:sz w:val="24"/>
                <w:szCs w:val="24"/>
                <w:highlight w:val="none"/>
              </w:rPr>
              <w:t xml:space="preserve">本此项目属于专门面向中小微企业采购的项目，</w:t>
            </w:r>
            <w:r>
              <w:rPr>
                <w:rFonts w:hint="eastAsia" w:ascii="宋体" w:hAnsi="宋体" w:cs="宋体"/>
                <w:b w:val="0"/>
                <w:bCs w:val="0"/>
                <w:color w:val="auto"/>
                <w:sz w:val="24"/>
                <w:szCs w:val="24"/>
                <w:highlight w:val="none"/>
                <w:lang w:eastAsia="zh-CN"/>
              </w:rPr>
              <w:t xml:space="preserve">投标人</w:t>
            </w:r>
            <w:r>
              <w:rPr>
                <w:rFonts w:hint="eastAsia" w:ascii="宋体" w:hAnsi="宋体" w:cs="宋体"/>
                <w:b w:val="0"/>
                <w:bCs w:val="0"/>
                <w:color w:val="auto"/>
                <w:sz w:val="24"/>
                <w:szCs w:val="24"/>
                <w:highlight w:val="none"/>
              </w:rPr>
              <w:t xml:space="preserve">应为中小微企业、监狱企业、残疾人福利性单位。</w:t>
            </w:r>
            <w:r/>
          </w:p>
          <w:p>
            <w:pPr>
              <w:spacing w:line="264"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三、本项目的特定资格要求</w:t>
            </w:r>
            <w:r>
              <w:rPr>
                <w:rFonts w:hint="eastAsia" w:ascii="宋体" w:hAnsi="宋体" w:cs="宋体"/>
                <w:color w:val="auto"/>
                <w:sz w:val="24"/>
                <w:szCs w:val="24"/>
                <w:highlight w:val="none"/>
              </w:rPr>
              <w:t xml:space="preserve">：无。</w:t>
            </w:r>
            <w:r/>
          </w:p>
          <w:p>
            <w:pPr>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同时明确相关事项如下：</w:t>
            </w:r>
            <w:r/>
          </w:p>
          <w:p>
            <w:pPr>
              <w:ind w:firstLine="24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1、本项目不接受联合体参与采购活动。</w:t>
            </w:r>
            <w:r/>
          </w:p>
          <w:p>
            <w:pPr>
              <w:ind w:firstLine="24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2、单位负责人为同一人或者存在实际控制、直接控股、管理关系的不同投标人，不得参加同一合同项下的政府采购活动。</w:t>
            </w:r>
            <w:r/>
          </w:p>
          <w:p>
            <w:pPr>
              <w:ind w:firstLine="24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3、为本采购项目提供整体设计、规范编制或者项目管理、监理、检测等服务的投标人，不得再参加本采购项目的采购活动。</w:t>
            </w:r>
            <w:r/>
          </w:p>
          <w:p>
            <w:pPr>
              <w:ind w:firstLine="24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4、查询及使用</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信用记录：</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⑴</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由采购人查询信用信息。</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⑵</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查询渠道包括：</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①“信用中国”网（</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"http://www.creditchina.gov.cn/"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www.creditchina.gov.cn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②中国政府采购网（</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"http://www.ccgp.gov.cn/"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www.ccgp.gov.cn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③“信用江苏”网（www.jscredit.gov.cn）；</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④“诚信徐州”网（ </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HYPERLINK "http://www.xuzhoucredit.gov.cn/"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http：//www.xuzhoucredit.gov.cn</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GB2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⑶</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截止时点（查询环节）：</w:t>
            </w:r>
            <w:r>
              <w:rPr>
                <w:rFonts w:hint="eastAsia" w:ascii="宋体" w:hAnsi="宋体" w:cs="宋体"/>
                <w:color w:val="auto"/>
                <w:sz w:val="24"/>
                <w:szCs w:val="24"/>
                <w:highlight w:val="none"/>
                <w:lang w:val="en-US" w:eastAsia="zh-CN"/>
              </w:rPr>
              <w:t xml:space="preserve">开标后资格审查结束</w:t>
            </w:r>
            <w:r>
              <w:rPr>
                <w:rFonts w:hint="eastAsia" w:ascii="宋体" w:hAnsi="宋体" w:cs="宋体"/>
                <w:color w:val="auto"/>
                <w:sz w:val="24"/>
                <w:szCs w:val="24"/>
                <w:highlight w:val="none"/>
              </w:rPr>
              <w:t xml:space="preserve">前。</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⑷信用信息查询记录和证据留存的具体方式：</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网页截屏打印，与其他采购文件一并保存。</w:t>
            </w:r>
            <w:r/>
          </w:p>
          <w:p>
            <w:pPr>
              <w:ind w:firstLine="480"/>
              <w:spacing w:line="264"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⑸信用信息的使用规则：</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采购人对</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rPr>
              <w:t xml:space="preserve">，拒绝其参与政府采购活动。</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(七)</w:t>
            </w:r>
            <w:r/>
          </w:p>
        </w:tc>
        <w:tc>
          <w:tcPr>
            <w:tcW w:w="8730" w:type="dxa"/>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招标代理服务费由中标人支付，标准不高于《招标代理服务收费标准》（见附件）。</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二、招标</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（九）1</w:t>
            </w:r>
            <w:r/>
          </w:p>
        </w:tc>
        <w:tc>
          <w:tcPr>
            <w:tcW w:w="8730" w:type="dxa"/>
            <w:vAlign w:val="center"/>
            <w:textDirection w:val="lrTb"/>
            <w:noWrap w:val="false"/>
          </w:tcPr>
          <w:p>
            <w:pPr>
              <w:ind w:firstLine="480"/>
              <w:rPr>
                <w:rFonts w:ascii="宋体" w:hAnsi="宋体" w:cs="宋体"/>
                <w:bCs/>
                <w:color w:val="auto"/>
                <w:sz w:val="24"/>
                <w:highlight w:val="none"/>
              </w:rPr>
            </w:pPr>
            <w:r>
              <w:rPr>
                <w:rFonts w:hint="eastAsia" w:ascii="宋体" w:hAnsi="宋体" w:cs="宋体"/>
                <w:bCs/>
                <w:color w:val="auto"/>
                <w:sz w:val="24"/>
                <w:highlight w:val="none"/>
              </w:rPr>
              <w:t xml:space="preserve">对招标文件进行澄清或者修改的，通过“苏采云”系统及</w:t>
            </w:r>
            <w:r>
              <w:rPr>
                <w:rFonts w:hint="eastAsia" w:ascii="宋体" w:hAnsi="宋体" w:cs="宋体"/>
                <w:color w:val="auto"/>
                <w:sz w:val="24"/>
                <w:highlight w:val="none"/>
              </w:rPr>
              <w:t xml:space="preserve">徐州政府采购网（https://czj.xz.gov.cn/Home/HomeIndex）</w:t>
            </w:r>
            <w:r>
              <w:rPr>
                <w:rFonts w:hint="eastAsia" w:ascii="宋体" w:hAnsi="宋体" w:cs="宋体"/>
                <w:bCs/>
                <w:color w:val="auto"/>
                <w:sz w:val="24"/>
                <w:highlight w:val="none"/>
              </w:rPr>
              <w:t xml:space="preserve">公告澄清或者修改的内容。澄清或者修改的内容以所发布的本项目的“更正（澄清）公告”的形式通知所有获取招标文件的潜在投标人。发布本项目的“更正（澄清）公告”后采购代理机构已尽通知义务。</w:t>
            </w:r>
            <w:r/>
          </w:p>
          <w:p>
            <w:pPr>
              <w:ind w:firstLine="480"/>
              <w:rPr>
                <w:rFonts w:ascii="宋体" w:hAnsi="宋体" w:cs="宋体"/>
                <w:color w:val="auto"/>
                <w:sz w:val="24"/>
                <w:highlight w:val="none"/>
              </w:rPr>
            </w:pPr>
            <w:r>
              <w:rPr>
                <w:rFonts w:hint="eastAsia" w:ascii="宋体" w:hAnsi="宋体" w:cs="宋体"/>
                <w:bCs/>
                <w:color w:val="auto"/>
                <w:sz w:val="24"/>
                <w:highlight w:val="none"/>
              </w:rPr>
              <w:t xml:space="preserve">敬请各潜在投标人关注本项目的“更正（澄清）公告”，并通过“苏采云”系统重新下载更正（澄清）后的采购文件（后缀名为“.kedt”），离线编制投标文件，否则，将自行承担相应的风险。</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（九）2</w:t>
            </w:r>
            <w:r/>
          </w:p>
        </w:tc>
        <w:tc>
          <w:tcPr>
            <w:tcW w:w="8730" w:type="dxa"/>
            <w:vAlign w:val="center"/>
            <w:textDirection w:val="lrTb"/>
            <w:noWrap w:val="false"/>
          </w:tcPr>
          <w:p>
            <w:pPr>
              <w:rPr>
                <w:rFonts w:ascii="宋体" w:hAnsi="宋体" w:cs="宋体"/>
                <w:bCs/>
                <w:color w:val="auto"/>
                <w:sz w:val="24"/>
                <w:highlight w:val="none"/>
              </w:rPr>
            </w:pPr>
            <w:r>
              <w:rPr>
                <w:rFonts w:hint="eastAsia" w:ascii="宋体" w:hAnsi="宋体" w:cs="宋体"/>
                <w:bCs/>
                <w:color w:val="auto"/>
                <w:sz w:val="24"/>
                <w:highlight w:val="none"/>
              </w:rPr>
              <w:t xml:space="preserve">不安排现场考察。</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（九）3</w:t>
            </w:r>
            <w:r/>
          </w:p>
        </w:tc>
        <w:tc>
          <w:tcPr>
            <w:tcW w:w="8730" w:type="dxa"/>
            <w:vAlign w:val="center"/>
            <w:textDirection w:val="lrTb"/>
            <w:noWrap w:val="false"/>
          </w:tcPr>
          <w:p>
            <w:pPr>
              <w:rPr>
                <w:rFonts w:ascii="宋体" w:hAnsi="宋体" w:cs="宋体"/>
                <w:bCs/>
                <w:color w:val="auto"/>
                <w:sz w:val="24"/>
                <w:highlight w:val="none"/>
              </w:rPr>
            </w:pPr>
            <w:r>
              <w:rPr>
                <w:rFonts w:hint="eastAsia" w:ascii="宋体" w:hAnsi="宋体" w:cs="宋体"/>
                <w:bCs/>
                <w:color w:val="auto"/>
                <w:sz w:val="24"/>
                <w:highlight w:val="none"/>
              </w:rPr>
              <w:t xml:space="preserve">不安排开标前答疑会</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三、投标</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（十一）</w:t>
            </w:r>
            <w:r/>
          </w:p>
        </w:tc>
        <w:tc>
          <w:tcPr>
            <w:tcW w:w="8730" w:type="dxa"/>
            <w:vAlign w:val="center"/>
            <w:textDirection w:val="lrTb"/>
            <w:noWrap w:val="false"/>
          </w:tcPr>
          <w:p>
            <w:pPr>
              <w:rPr>
                <w:rFonts w:ascii="宋体" w:hAnsi="宋体" w:cs="宋体"/>
                <w:color w:val="auto"/>
                <w:sz w:val="24"/>
                <w:highlight w:val="none"/>
              </w:rPr>
            </w:pPr>
            <w:r>
              <w:rPr>
                <w:rFonts w:hint="eastAsia" w:ascii="宋体" w:hAnsi="宋体" w:cs="宋体"/>
                <w:bCs/>
                <w:color w:val="auto"/>
                <w:sz w:val="24"/>
                <w:highlight w:val="none"/>
              </w:rPr>
              <w:t xml:space="preserve">投标文件的语言为中文</w:t>
            </w:r>
            <w:r/>
          </w:p>
        </w:tc>
      </w:tr>
      <w:tr>
        <w:trPr>
          <w:jc w:val="center"/>
          <w:trHeight w:val="2645"/>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十二</w:t>
            </w:r>
            <w:r/>
          </w:p>
        </w:tc>
        <w:tc>
          <w:tcPr>
            <w:tcW w:w="8730" w:type="dxa"/>
            <w:vAlign w:val="center"/>
            <w:textDirection w:val="lrTb"/>
            <w:noWrap w:val="false"/>
          </w:tcPr>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投标人须用政府采购客户端工具导入“苏采云”系统下载的招标文件后，离线编制投标文件。招标文件、</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操作手册及政府采购客户端工具可通过“苏采云”系统（网址：</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"http://jszfcg.jsczt.cn/"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http://jszfcg.jsc</w:t>
            </w:r>
            <w:bookmarkStart w:id="3" w:name="_Hlt91509264"/>
            <w:r/>
            <w:bookmarkStart w:id="4" w:name="_Hlt91509263"/>
            <w:r>
              <w:rPr>
                <w:rFonts w:hint="eastAsia" w:ascii="宋体" w:hAnsi="宋体" w:cs="宋体"/>
                <w:color w:val="auto"/>
                <w:sz w:val="24"/>
                <w:highlight w:val="none"/>
              </w:rPr>
              <w:t xml:space="preserve">z</w:t>
            </w:r>
            <w:bookmarkEnd w:id="3"/>
            <w:r/>
            <w:bookmarkEnd w:id="4"/>
            <w:r>
              <w:rPr>
                <w:rFonts w:hint="eastAsia" w:ascii="宋体" w:hAnsi="宋体" w:cs="宋体"/>
                <w:color w:val="auto"/>
                <w:sz w:val="24"/>
                <w:highlight w:val="none"/>
              </w:rPr>
              <w:t xml:space="preserve">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操作手册及政府采购客户端工具也可通过徐州政府采购网--业务工作--快速服务--下载专区，点击进入《江苏省政府采购管理交易系统（苏采云）</w:t>
            </w:r>
            <w:r>
              <w:rPr>
                <w:rFonts w:hint="eastAsia" w:ascii="宋体" w:hAnsi="宋体" w:cs="宋体"/>
                <w:color w:val="auto"/>
                <w:sz w:val="24"/>
                <w:highlight w:val="none"/>
                <w:lang w:eastAsia="zh-CN"/>
              </w:rPr>
              <w:t xml:space="preserve">投标人</w:t>
            </w:r>
            <w:r>
              <w:rPr>
                <w:rFonts w:hint="eastAsia" w:ascii="宋体" w:hAnsi="宋体" w:cs="宋体"/>
                <w:color w:val="auto"/>
                <w:sz w:val="24"/>
                <w:highlight w:val="none"/>
              </w:rPr>
              <w:t xml:space="preserve">操作手册及政府采购客户端》，进行下载。</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特别说明：政府采购客户端工具需要导出加密的投标文件（后缀名为zip）。投标文件不得超过</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50M！（以系统为准）</w:t>
            </w:r>
            <w:r/>
          </w:p>
        </w:tc>
      </w:tr>
      <w:tr>
        <w:trPr>
          <w:jc w:val="center"/>
          <w:trHeight w:val="90"/>
        </w:trPr>
        <w:tc>
          <w:tcPr>
            <w:tcW w:w="1261" w:type="dxa"/>
            <w:vAlign w:val="center"/>
            <w:textDirection w:val="lrTb"/>
            <w:noWrap w:val="false"/>
          </w:tcPr>
          <w:p>
            <w:pPr>
              <w:numPr>
                <w:ilvl w:val="0"/>
                <w:numId w:val="1"/>
              </w:num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1</w:t>
            </w:r>
            <w:r/>
          </w:p>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(十二)2</w:t>
            </w:r>
            <w:r/>
          </w:p>
        </w:tc>
        <w:tc>
          <w:tcPr>
            <w:tcW w:w="8730" w:type="dxa"/>
            <w:vAlign w:val="center"/>
            <w:textDirection w:val="lrTb"/>
            <w:noWrap w:val="false"/>
          </w:tcPr>
          <w:p>
            <w:pPr>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线上投标文件编制要求</w:t>
            </w:r>
            <w:r>
              <w:rPr>
                <w:rFonts w:hint="eastAsia" w:ascii="宋体" w:hAnsi="宋体" w:cs="宋体"/>
                <w:b/>
                <w:color w:val="auto"/>
                <w:sz w:val="24"/>
                <w:szCs w:val="24"/>
                <w:highlight w:val="none"/>
              </w:rPr>
              <w:t xml:space="preserve">：</w:t>
            </w:r>
            <w:r/>
          </w:p>
          <w:p>
            <w:pPr>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szCs w:val="24"/>
                <w:highlight w:val="none"/>
              </w:rPr>
              <w:t xml:space="preserve">请按照以下要求</w:t>
            </w:r>
            <w:r>
              <w:rPr>
                <w:rFonts w:hint="eastAsia" w:ascii="宋体" w:hAnsi="宋体" w:cs="宋体"/>
                <w:color w:val="auto"/>
                <w:sz w:val="24"/>
                <w:szCs w:val="24"/>
                <w:highlight w:val="none"/>
              </w:rPr>
              <w:t xml:space="preserve">（包括但不限于以下要求）制作：</w:t>
            </w:r>
            <w:r/>
          </w:p>
          <w:p>
            <w:pPr>
              <w:spacing w:line="264"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一、基本目录</w:t>
            </w:r>
            <w:r/>
          </w:p>
          <w:p>
            <w:pPr>
              <w:ind w:firstLine="480"/>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1、目录</w:t>
            </w:r>
            <w:r/>
          </w:p>
          <w:p>
            <w:pPr>
              <w:ind w:firstLine="480"/>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w:t>
            </w:r>
            <w:r>
              <w:rPr>
                <w:rFonts w:hint="eastAsia" w:ascii="宋体" w:hAnsi="宋体" w:cs="宋体"/>
                <w:bCs/>
                <w:color w:val="auto"/>
                <w:sz w:val="24"/>
                <w:szCs w:val="24"/>
                <w:highlight w:val="none"/>
              </w:rPr>
              <w:t xml:space="preserve">开标一览表</w:t>
            </w:r>
            <w:r>
              <w:rPr>
                <w:rFonts w:hint="eastAsia" w:ascii="宋体" w:hAnsi="宋体" w:cs="宋体"/>
                <w:color w:val="auto"/>
                <w:sz w:val="24"/>
                <w:szCs w:val="24"/>
                <w:highlight w:val="none"/>
              </w:rPr>
              <w:t xml:space="preserve">》（加盖电子签章，政府采购客户端工具输入报价自动生成）。</w:t>
            </w:r>
            <w:r/>
          </w:p>
          <w:p>
            <w:pPr>
              <w:ind w:firstLine="480"/>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3、</w:t>
            </w:r>
            <w:r>
              <w:rPr>
                <w:rFonts w:hint="eastAsia" w:ascii="宋体" w:hAnsi="宋体" w:cs="宋体"/>
                <w:bCs/>
                <w:color w:val="auto"/>
                <w:sz w:val="24"/>
                <w:szCs w:val="24"/>
                <w:highlight w:val="none"/>
              </w:rPr>
              <w:t xml:space="preserve">投标人认为需要提供的其他资料</w:t>
            </w:r>
            <w:r>
              <w:rPr>
                <w:rFonts w:hint="eastAsia" w:ascii="宋体" w:hAnsi="宋体" w:cs="宋体"/>
                <w:color w:val="auto"/>
                <w:sz w:val="24"/>
                <w:szCs w:val="24"/>
                <w:highlight w:val="none"/>
              </w:rPr>
              <w:t xml:space="preserve">（如有）</w:t>
            </w:r>
            <w:r/>
          </w:p>
          <w:p>
            <w:pPr>
              <w:spacing w:line="264" w:lineRule="auto"/>
              <w:rPr>
                <w:rFonts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二、资格条件（1-</w:t>
            </w:r>
            <w:r>
              <w:rPr>
                <w:rFonts w:hint="eastAsia" w:ascii="宋体" w:hAnsi="宋体" w:cs="宋体"/>
                <w:b/>
                <w:color w:val="auto"/>
                <w:sz w:val="24"/>
                <w:szCs w:val="24"/>
                <w:highlight w:val="none"/>
                <w:lang w:val="en-US" w:eastAsia="zh-CN"/>
              </w:rPr>
              <w:t xml:space="preserve">6</w:t>
            </w:r>
            <w:r>
              <w:rPr>
                <w:rFonts w:hint="eastAsia" w:ascii="宋体" w:hAnsi="宋体" w:cs="宋体"/>
                <w:b/>
                <w:color w:val="auto"/>
                <w:sz w:val="24"/>
                <w:szCs w:val="24"/>
                <w:highlight w:val="none"/>
              </w:rPr>
              <w:t xml:space="preserve">必须提供，加盖电子签章，否则投标无效）</w:t>
            </w:r>
            <w:r/>
          </w:p>
          <w:p>
            <w:pPr>
              <w:ind w:firstLine="480"/>
              <w:spacing w:line="264" w:lineRule="auto"/>
              <w:rPr>
                <w:rFonts w:hint="eastAsia" w:ascii="宋体" w:hAnsi="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（一）满足《中华人民共和国政府采购法》第二十二条规定：</w:t>
            </w:r>
            <w:r/>
          </w:p>
          <w:p>
            <w:pPr>
              <w:ind w:firstLine="480"/>
              <w:spacing w:line="264" w:lineRule="auto"/>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1.具有独立承担民事责任的能力，提供投标人合法有效的营业执照扫描件（或事业单位法人证书扫描件，或民办非企业单位登记证书扫描件）；</w:t>
            </w:r>
            <w:r/>
          </w:p>
          <w:p>
            <w:pPr>
              <w:ind w:firstLine="480"/>
              <w:spacing w:line="264" w:lineRule="auto"/>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2.财务状况报告（至少提供投标人的本项目开标时间前6个月内任何时间的资产负债表和利润表扫描件各一份；或提供投标人2024年度经审计的财务报告扫描件一份；或提供投标人的本项目开标时间前6个月内银行出具的资信证明扫描件一份）；</w:t>
            </w:r>
            <w:r/>
          </w:p>
          <w:p>
            <w:pPr>
              <w:ind w:firstLine="480"/>
              <w:spacing w:line="264" w:lineRule="auto"/>
              <w:rPr>
                <w:rFonts w:hint="eastAsia" w:ascii="宋体" w:hAnsi="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3.投标人依法缴纳税收和社会保障资金的记录（提供本项目开标时间前6个月内任何1月的依法缴纳税收的相关材料扫描件；和本项目开标时间前6个月内任何1月的依法缴纳社会保障资金的相关材料扫描件）（依法免税或不需要缴纳社会保障资金的投标人,提供相应文件扫描件证明其依法免税或不需要缴纳社会保障资金)；</w:t>
            </w:r>
            <w:r/>
          </w:p>
          <w:p>
            <w:pPr>
              <w:ind w:firstLine="480"/>
              <w:spacing w:line="264"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4.具备履行合同所必需的设备和专业技术能力的证明（响应文件中提供《具备履行合同所必需的设备和专业技术能力的书面声明（附证明材料扫描件）》，加盖电子签章，格式见招标文件第七章《投标文件相关格式》,所附证明材料扫描件可不加盖电子签章）；</w:t>
            </w:r>
            <w:r/>
          </w:p>
          <w:p>
            <w:pPr>
              <w:ind w:firstLine="480"/>
              <w:spacing w:line="264" w:lineRule="auto"/>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w:t>
            </w:r>
            <w:r>
              <w:rPr>
                <w:rFonts w:hint="eastAsia" w:ascii="宋体" w:hAnsi="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rPr>
              <w:t xml:space="preserve">投标人参加政府采购活动前3年内在经营活动中没有重大违法记录的书面声明（加盖电子签章，格式见招标文件第七章《投标文件相关格式》）。</w:t>
            </w:r>
            <w:r/>
          </w:p>
          <w:p>
            <w:pPr>
              <w:ind w:firstLine="482"/>
              <w:jc w:val="left"/>
              <w:spacing w:line="300" w:lineRule="auto"/>
              <w:rPr>
                <w:rFonts w:hint="eastAsia" w:ascii="宋体" w:hAnsi="宋体" w:cs="宋体"/>
                <w:b w:val="0"/>
                <w:bCs w:val="0"/>
                <w:color w:val="auto"/>
                <w:sz w:val="24"/>
                <w:szCs w:val="24"/>
                <w:highlight w:val="none"/>
              </w:rPr>
            </w:pPr>
            <w:r>
              <w:rPr>
                <w:rFonts w:hint="eastAsia" w:ascii="宋体" w:hAnsi="宋体" w:cs="宋体"/>
                <w:b/>
                <w:bCs w:val="0"/>
                <w:color w:val="auto"/>
                <w:sz w:val="24"/>
                <w:szCs w:val="24"/>
                <w:highlight w:val="none"/>
              </w:rPr>
              <w:t xml:space="preserve">6</w:t>
            </w:r>
            <w:r>
              <w:rPr>
                <w:rFonts w:hint="eastAsia" w:ascii="宋体" w:hAnsi="宋体" w:cs="宋体"/>
                <w:b/>
                <w:bCs w:val="0"/>
                <w:color w:val="auto"/>
                <w:sz w:val="24"/>
                <w:szCs w:val="24"/>
                <w:highlight w:val="none"/>
                <w:lang w:val="en-US" w:eastAsia="zh-CN"/>
              </w:rPr>
              <w:t xml:space="preserve">.</w:t>
            </w:r>
            <w:r>
              <w:rPr>
                <w:rFonts w:hint="eastAsia" w:ascii="宋体" w:hAnsi="宋体" w:cs="宋体"/>
                <w:b/>
                <w:bCs/>
                <w:color w:val="auto"/>
                <w:sz w:val="24"/>
                <w:szCs w:val="24"/>
                <w:highlight w:val="none"/>
                <w:lang w:val="en-US" w:eastAsia="zh-CN"/>
              </w:rPr>
              <w:t xml:space="preserve">此项目属于专门面向中小微企业采购的项目，投标人应为中小微企业、监狱企业、残疾人福利性单位。</w:t>
            </w:r>
            <w:r/>
          </w:p>
          <w:p>
            <w:pPr>
              <w:ind w:firstLine="480"/>
              <w:spacing w:line="264"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投标人为中小企业（含中型、小型、微型企业，下同）的，</w:t>
            </w:r>
            <w:r>
              <w:rPr>
                <w:rFonts w:hint="eastAsia" w:ascii="宋体" w:hAnsi="宋体" w:cs="宋体"/>
                <w:b/>
                <w:bCs/>
                <w:color w:val="auto"/>
                <w:sz w:val="24"/>
                <w:szCs w:val="24"/>
                <w:highlight w:val="none"/>
              </w:rPr>
              <w:t xml:space="preserve">提供《中小企业声明函》（电子签章，填写完整。</w:t>
            </w:r>
            <w:r>
              <w:rPr>
                <w:rFonts w:hint="eastAsia" w:ascii="宋体" w:hAnsi="宋体" w:cs="宋体"/>
                <w:b/>
                <w:bCs/>
                <w:color w:val="auto"/>
                <w:sz w:val="24"/>
                <w:szCs w:val="24"/>
                <w:highlight w:val="none"/>
                <w:lang w:eastAsia="zh-CN"/>
              </w:rPr>
              <w:t xml:space="preserve">格式见招标文件第七章《投标文件相关格式》</w:t>
            </w:r>
            <w:r>
              <w:rPr>
                <w:rFonts w:hint="eastAsia" w:ascii="宋体" w:hAnsi="宋体" w:cs="宋体"/>
                <w:b/>
                <w:bCs/>
                <w:color w:val="auto"/>
                <w:sz w:val="24"/>
                <w:szCs w:val="24"/>
                <w:highlight w:val="none"/>
              </w:rPr>
              <w:t xml:space="preserve">）。</w:t>
            </w:r>
            <w:r>
              <w:rPr>
                <w:rFonts w:hint="eastAsia" w:ascii="宋体" w:hAnsi="宋体" w:cs="宋体"/>
                <w:b w:val="0"/>
                <w:bCs w:val="0"/>
                <w:color w:val="auto"/>
                <w:sz w:val="24"/>
                <w:szCs w:val="24"/>
                <w:highlight w:val="none"/>
                <w:lang w:eastAsia="zh-CN"/>
              </w:rPr>
              <w:t xml:space="preserve">《中小企业声明函》查询渠道用微信搜索“中小企业规模类型自测小程序”</w:t>
            </w:r>
            <w:r>
              <w:rPr>
                <w:rFonts w:hint="eastAsia" w:ascii="宋体" w:hAnsi="宋体" w:cs="宋体"/>
                <w:b w:val="0"/>
                <w:bCs w:val="0"/>
                <w:color w:val="auto"/>
                <w:sz w:val="24"/>
                <w:szCs w:val="24"/>
                <w:highlight w:val="none"/>
              </w:rPr>
              <w:t xml:space="preserve">。</w:t>
            </w:r>
            <w:r/>
          </w:p>
          <w:p>
            <w:pPr>
              <w:spacing w:line="264"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注：中小</w:t>
            </w:r>
            <w:r>
              <w:rPr>
                <w:rFonts w:hint="eastAsia" w:ascii="宋体" w:hAnsi="宋体" w:cs="宋体"/>
                <w:b w:val="0"/>
                <w:bCs w:val="0"/>
                <w:color w:val="auto"/>
                <w:sz w:val="24"/>
                <w:szCs w:val="24"/>
                <w:highlight w:val="none"/>
                <w:lang w:val="en-US" w:eastAsia="zh-CN"/>
              </w:rPr>
              <w:t xml:space="preserve">微</w:t>
            </w:r>
            <w:r>
              <w:rPr>
                <w:rFonts w:hint="eastAsia" w:ascii="宋体" w:hAnsi="宋体" w:cs="宋体"/>
                <w:b w:val="0"/>
                <w:bCs w:val="0"/>
                <w:color w:val="auto"/>
                <w:sz w:val="24"/>
                <w:szCs w:val="24"/>
                <w:highlight w:val="none"/>
              </w:rPr>
              <w:t xml:space="preserve">企业，应当符合以下条件：</w:t>
            </w:r>
            <w:r/>
          </w:p>
          <w:p>
            <w:pPr>
              <w:ind w:firstLine="480"/>
              <w:spacing w:line="264"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中小企业</w:t>
            </w:r>
            <w:r>
              <w:rPr>
                <w:rFonts w:hint="eastAsia" w:ascii="宋体" w:hAnsi="宋体" w:cs="宋体"/>
                <w:b w:val="0"/>
                <w:bCs w:val="0"/>
                <w:color w:val="auto"/>
                <w:sz w:val="24"/>
                <w:szCs w:val="24"/>
                <w:highlight w:val="none"/>
                <w:lang w:val="en-US" w:eastAsia="zh-CN"/>
              </w:rPr>
              <w:t xml:space="preserve">需满足的条件</w:t>
            </w:r>
            <w:r>
              <w:rPr>
                <w:rFonts w:hint="eastAsia" w:ascii="宋体" w:hAnsi="宋体" w:cs="宋体"/>
                <w:b w:val="0"/>
                <w:bCs w:val="0"/>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spacing w:line="264"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投标人为监狱企业的，</w:t>
            </w:r>
            <w:r>
              <w:rPr>
                <w:rFonts w:hint="eastAsia" w:ascii="宋体" w:hAnsi="宋体" w:cs="宋体"/>
                <w:b w:val="0"/>
                <w:bCs w:val="0"/>
                <w:color w:val="auto"/>
                <w:sz w:val="24"/>
                <w:szCs w:val="24"/>
                <w:highlight w:val="none"/>
                <w:lang w:val="en-US" w:eastAsia="zh-CN"/>
              </w:rPr>
              <w:t xml:space="preserve">视同小微企业，</w:t>
            </w:r>
            <w:r>
              <w:rPr>
                <w:rFonts w:hint="eastAsia" w:ascii="宋体" w:hAnsi="宋体" w:cs="宋体"/>
                <w:b w:val="0"/>
                <w:bCs w:val="0"/>
                <w:color w:val="auto"/>
                <w:sz w:val="24"/>
                <w:szCs w:val="24"/>
                <w:highlight w:val="none"/>
              </w:rPr>
              <w:t xml:space="preserve">提供省级以上监狱管理局、戒毒管理局（含新疆生产建设兵团）出具的属于监狱企业的证明文件</w:t>
            </w:r>
            <w:r>
              <w:rPr>
                <w:rFonts w:hint="eastAsia" w:ascii="宋体" w:hAnsi="宋体" w:cs="宋体"/>
                <w:b w:val="0"/>
                <w:bCs w:val="0"/>
                <w:color w:val="auto"/>
                <w:sz w:val="24"/>
                <w:szCs w:val="24"/>
                <w:highlight w:val="none"/>
                <w:lang w:eastAsia="zh-CN"/>
              </w:rPr>
              <w:t xml:space="preserve">扫描件</w:t>
            </w:r>
            <w:r>
              <w:rPr>
                <w:rFonts w:hint="eastAsia" w:ascii="宋体" w:hAnsi="宋体" w:cs="宋体"/>
                <w:b w:val="0"/>
                <w:bCs w:val="0"/>
                <w:color w:val="auto"/>
                <w:sz w:val="24"/>
                <w:szCs w:val="24"/>
                <w:highlight w:val="none"/>
              </w:rPr>
              <w:t xml:space="preserve">。具体以《财政部司法部关于政府采购支持监狱企业发展有关问题的通知》（财库〔2014〕68号）的规定为准。</w:t>
            </w:r>
            <w:r/>
          </w:p>
          <w:p>
            <w:pPr>
              <w:ind w:firstLine="480"/>
              <w:spacing w:line="264" w:lineRule="auto"/>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投标人为残疾人福利性单位的，</w:t>
            </w:r>
            <w:r>
              <w:rPr>
                <w:rFonts w:hint="eastAsia" w:ascii="宋体" w:hAnsi="宋体" w:cs="宋体"/>
                <w:b w:val="0"/>
                <w:bCs w:val="0"/>
                <w:color w:val="auto"/>
                <w:sz w:val="24"/>
                <w:szCs w:val="24"/>
                <w:highlight w:val="none"/>
                <w:lang w:val="en-US" w:eastAsia="zh-CN"/>
              </w:rPr>
              <w:t xml:space="preserve">视同小微企业，</w:t>
            </w:r>
            <w:r>
              <w:rPr>
                <w:rFonts w:hint="eastAsia" w:ascii="宋体" w:hAnsi="宋体" w:cs="宋体"/>
                <w:b w:val="0"/>
                <w:bCs w:val="0"/>
                <w:color w:val="auto"/>
                <w:sz w:val="24"/>
                <w:szCs w:val="24"/>
                <w:highlight w:val="none"/>
              </w:rPr>
              <w:t xml:space="preserve">提供《残疾人福利性单位声明函》（加盖电子签章，格式见招标文件第七章《投标文件相关格式》）</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具体以《三部门联合发布关于促进残疾人就业政府采购政策的通知》（财库〔2017〕141号）规定为准。</w:t>
            </w:r>
            <w:r/>
          </w:p>
          <w:p>
            <w:pPr>
              <w:ind w:firstLine="482"/>
              <w:spacing w:line="264" w:lineRule="auto"/>
              <w:rPr>
                <w:rFonts w:ascii="宋体" w:hAnsi="宋体" w:cs="宋体"/>
                <w:b w:val="0"/>
                <w:bCs w:val="0"/>
                <w:color w:val="auto"/>
                <w:sz w:val="24"/>
                <w:szCs w:val="24"/>
                <w:highlight w:val="none"/>
              </w:rPr>
            </w:pPr>
            <w:r>
              <w:rPr>
                <w:rFonts w:hint="eastAsia" w:ascii="宋体" w:hAnsi="宋体" w:cs="宋体"/>
                <w:b/>
                <w:color w:val="auto"/>
                <w:sz w:val="24"/>
                <w:szCs w:val="24"/>
                <w:highlight w:val="none"/>
                <w:lang w:val="en-US" w:eastAsia="zh-CN"/>
              </w:rPr>
              <w:t xml:space="preserve">7.</w:t>
            </w:r>
            <w:r>
              <w:rPr>
                <w:rFonts w:hint="eastAsia" w:ascii="宋体" w:hAnsi="宋体" w:cs="宋体"/>
                <w:b/>
                <w:color w:val="auto"/>
                <w:sz w:val="24"/>
                <w:szCs w:val="24"/>
                <w:highlight w:val="none"/>
              </w:rPr>
              <w:t xml:space="preserve">本项目特定资格要求：无</w:t>
            </w:r>
            <w:r>
              <w:rPr>
                <w:rFonts w:hint="eastAsia" w:ascii="宋体" w:hAnsi="宋体" w:cs="仿宋"/>
                <w:b/>
                <w:bCs/>
                <w:color w:val="auto"/>
                <w:sz w:val="24"/>
                <w:szCs w:val="24"/>
                <w:highlight w:val="none"/>
              </w:rPr>
              <w:t xml:space="preserve">。</w:t>
            </w:r>
            <w:r/>
          </w:p>
          <w:p>
            <w:pPr>
              <w:ind w:firstLine="482"/>
              <w:spacing w:line="264"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三、符合条件（必须提供，否则投标无效）</w:t>
            </w:r>
            <w:r/>
          </w:p>
          <w:p>
            <w:pPr>
              <w:ind w:firstLine="480"/>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（一）报价</w:t>
            </w:r>
            <w:r/>
          </w:p>
          <w:p>
            <w:pPr>
              <w:ind w:firstLine="480"/>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《开标一览表》（加盖电子签章，格式见招标文件第七章《投标文件相关格式》。）</w:t>
            </w:r>
            <w:r/>
          </w:p>
          <w:p>
            <w:pPr>
              <w:ind w:firstLine="480"/>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《分项价格表》（加盖电子签章，格式见招标文件第七章《投标文件相关格式》。）</w:t>
            </w:r>
            <w:r/>
          </w:p>
          <w:p>
            <w:pPr>
              <w:ind w:firstLine="480"/>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（二）商务资信</w:t>
            </w:r>
            <w:r/>
          </w:p>
          <w:p>
            <w:pPr>
              <w:ind w:firstLine="480"/>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《投标函》（加盖电子签章，格式见招标文件第七章《投标文件相关格式》。）</w:t>
            </w:r>
            <w:r/>
          </w:p>
          <w:p>
            <w:pPr>
              <w:ind w:firstLine="480"/>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《授权委托书》（加盖电子签章，格式见招标文件第七章《投标文件相关格式》）</w:t>
            </w:r>
            <w:r/>
          </w:p>
          <w:p>
            <w:pPr>
              <w:ind w:firstLine="480"/>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（三）技术响应</w:t>
            </w:r>
            <w:r/>
          </w:p>
          <w:p>
            <w:pPr>
              <w:ind w:firstLine="480"/>
              <w:spacing w:line="264" w:lineRule="auto"/>
              <w:rPr>
                <w:rFonts w:ascii="宋体" w:hAnsi="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《偏离表》（加盖电子签章，格式见招标文件第七章《投标文件相关格式》。）</w:t>
            </w:r>
            <w:r/>
          </w:p>
          <w:p>
            <w:pPr>
              <w:ind w:firstLine="482"/>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rPr>
              <w:t xml:space="preserve">四、</w:t>
            </w:r>
            <w:r>
              <w:rPr>
                <w:rFonts w:hint="eastAsia" w:ascii="宋体" w:hAnsi="宋体" w:cs="宋体"/>
                <w:b/>
                <w:bCs/>
                <w:color w:val="auto"/>
                <w:sz w:val="24"/>
                <w:szCs w:val="24"/>
                <w:highlight w:val="none"/>
              </w:rPr>
              <w:t xml:space="preserve">综合评审评分项</w:t>
            </w:r>
            <w:r/>
          </w:p>
          <w:p>
            <w:pPr>
              <w:ind w:firstLine="480"/>
              <w:spacing w:line="264" w:lineRule="auto"/>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rPr>
              <w:t xml:space="preserve">（一）技术部分</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要求见招标文件第四章《评标标准》、第五章《采购需求》。</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（二）商务部分</w:t>
            </w:r>
            <w:r/>
          </w:p>
          <w:p>
            <w:pPr>
              <w:ind w:firstLine="480"/>
              <w:spacing w:line="264"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要求见招标文件第四章《评标标准》。</w:t>
            </w:r>
            <w:r/>
          </w:p>
          <w:p>
            <w:pPr>
              <w:ind w:firstLine="480"/>
              <w:spacing w:line="264" w:lineRule="auto"/>
              <w:rPr>
                <w:rFonts w:ascii="宋体" w:hAnsi="宋体" w:cs="宋体"/>
                <w:color w:val="auto"/>
                <w:sz w:val="24"/>
                <w:szCs w:val="24"/>
                <w:highlight w:val="none"/>
              </w:rPr>
            </w:pPr>
            <w:r>
              <w:rPr>
                <w:rFonts w:hint="eastAsia" w:ascii="宋体" w:hAnsi="宋体" w:cs="宋体"/>
                <w:b/>
                <w:bCs/>
                <w:color w:val="auto"/>
                <w:sz w:val="24"/>
                <w:szCs w:val="24"/>
                <w:highlight w:val="none"/>
              </w:rPr>
              <w:t xml:space="preserve">五、报价折扣证明：</w:t>
            </w:r>
            <w:r>
              <w:rPr>
                <w:rFonts w:hint="eastAsia" w:ascii="宋体" w:hAnsi="宋体" w:cs="宋体"/>
                <w:b/>
                <w:bCs/>
                <w:color w:val="auto"/>
                <w:sz w:val="24"/>
                <w:szCs w:val="24"/>
                <w:highlight w:val="none"/>
                <w:lang w:val="en-US" w:eastAsia="zh-CN"/>
              </w:rPr>
              <w:t xml:space="preserve">无</w:t>
            </w:r>
            <w:r>
              <w:rPr>
                <w:rFonts w:hint="eastAsia" w:ascii="宋体" w:hAnsi="宋体" w:cs="宋体"/>
                <w:color w:val="auto"/>
                <w:sz w:val="24"/>
                <w:szCs w:val="24"/>
                <w:highlight w:val="none"/>
              </w:rPr>
              <w:t xml:space="preserve">。</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1、投标人应对以上文件的合法性、真实性负责。</w:t>
            </w:r>
            <w:r/>
          </w:p>
          <w:p>
            <w:pPr>
              <w:ind w:firstLine="480"/>
              <w:spacing w:line="264"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264" w:lineRule="auto"/>
              <w:rPr>
                <w:rFonts w:ascii="宋体" w:hAnsi="宋体" w:cs="宋体"/>
                <w:bCs/>
                <w:color w:val="auto"/>
                <w:sz w:val="24"/>
                <w:szCs w:val="24"/>
                <w:highlight w:val="none"/>
              </w:rPr>
            </w:pPr>
            <w:r>
              <w:rPr>
                <w:rFonts w:hint="eastAsia" w:ascii="宋体" w:hAnsi="宋体" w:cs="宋体"/>
                <w:color w:val="auto"/>
                <w:sz w:val="24"/>
                <w:szCs w:val="24"/>
                <w:highlight w:val="none"/>
              </w:rPr>
              <w:t xml:space="preserve">3、线下纸质投标文件：中标人领取中标通知书时须向代理机构提交纸质胶装投标文件一正四副和投标文件电子版2份（载体为光盘或U盘）。后期招标人如有需要中标人仍需免费提供。</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(十三)2</w:t>
            </w:r>
            <w:r/>
          </w:p>
        </w:tc>
        <w:tc>
          <w:tcPr>
            <w:tcW w:w="8730" w:type="dxa"/>
            <w:vAlign w:val="center"/>
            <w:textDirection w:val="lrTb"/>
            <w:noWrap w:val="false"/>
          </w:tcPr>
          <w:p>
            <w:pPr>
              <w:ind w:firstLine="482"/>
              <w:spacing w:line="264" w:lineRule="auto"/>
              <w:rPr>
                <w:rFonts w:ascii="宋体" w:hAnsi="宋体" w:cs="宋体"/>
                <w:color w:val="auto"/>
                <w:sz w:val="24"/>
                <w:highlight w:val="none"/>
              </w:rPr>
            </w:pPr>
            <w:r>
              <w:rPr>
                <w:rFonts w:hint="eastAsia" w:ascii="宋体" w:hAnsi="宋体" w:cs="宋体"/>
                <w:color w:val="auto"/>
                <w:sz w:val="24"/>
                <w:highlight w:val="none"/>
              </w:rPr>
              <w:t xml:space="preserve">商务条件见：</w:t>
            </w:r>
            <w:r/>
          </w:p>
          <w:p>
            <w:pPr>
              <w:ind w:firstLine="482"/>
              <w:spacing w:line="264" w:lineRule="auto"/>
              <w:rPr>
                <w:rFonts w:ascii="宋体" w:hAnsi="宋体" w:cs="宋体"/>
                <w:color w:val="auto"/>
                <w:sz w:val="24"/>
                <w:highlight w:val="none"/>
              </w:rPr>
            </w:pPr>
            <w:r>
              <w:rPr>
                <w:rFonts w:hint="eastAsia" w:ascii="宋体" w:hAnsi="宋体" w:cs="宋体"/>
                <w:color w:val="auto"/>
                <w:sz w:val="24"/>
                <w:highlight w:val="none"/>
              </w:rPr>
              <w:t xml:space="preserve">1.招标文件第四章《评标标准》中《评分细则》</w:t>
            </w:r>
            <w:r/>
          </w:p>
          <w:p>
            <w:pPr>
              <w:ind w:firstLine="482"/>
              <w:spacing w:line="264" w:lineRule="auto"/>
              <w:rPr>
                <w:rFonts w:ascii="宋体" w:hAnsi="宋体" w:cs="宋体"/>
                <w:bCs/>
                <w:color w:val="auto"/>
                <w:sz w:val="24"/>
                <w:highlight w:val="none"/>
              </w:rPr>
            </w:pPr>
            <w:r>
              <w:rPr>
                <w:rFonts w:hint="eastAsia" w:ascii="宋体" w:hAnsi="宋体" w:cs="宋体"/>
                <w:color w:val="auto"/>
                <w:sz w:val="24"/>
                <w:highlight w:val="none"/>
              </w:rPr>
              <w:t xml:space="preserve">2.招标文件第三章《投标资料表》中(十二)1和(十二)2</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(十三)3</w:t>
            </w:r>
            <w:r/>
          </w:p>
        </w:tc>
        <w:tc>
          <w:tcPr>
            <w:tcW w:w="8730" w:type="dxa"/>
            <w:vAlign w:val="center"/>
            <w:textDirection w:val="lrTb"/>
            <w:noWrap w:val="false"/>
          </w:tcPr>
          <w:p>
            <w:pPr>
              <w:ind w:firstLine="482"/>
              <w:spacing w:line="264" w:lineRule="auto"/>
              <w:rPr>
                <w:rFonts w:ascii="宋体" w:hAnsi="宋体" w:cs="宋体"/>
                <w:color w:val="auto"/>
                <w:sz w:val="24"/>
                <w:highlight w:val="none"/>
              </w:rPr>
            </w:pPr>
            <w:r>
              <w:rPr>
                <w:rFonts w:hint="eastAsia" w:ascii="宋体" w:hAnsi="宋体" w:cs="宋体"/>
                <w:color w:val="auto"/>
                <w:sz w:val="24"/>
                <w:highlight w:val="none"/>
              </w:rPr>
              <w:t xml:space="preserve">提供服务或交付成果报告的时间见：招标文件第五章 《采购需求》及或招标文件第六章《拟签订的合同文本》。</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(十四)2</w:t>
            </w:r>
            <w:r/>
          </w:p>
        </w:tc>
        <w:tc>
          <w:tcPr>
            <w:tcW w:w="8730" w:type="dxa"/>
            <w:vAlign w:val="center"/>
            <w:textDirection w:val="lrTb"/>
            <w:noWrap w:val="false"/>
          </w:tcPr>
          <w:p>
            <w:pPr>
              <w:ind w:firstLine="482"/>
              <w:spacing w:line="264"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本项目预算金额为</w:t>
            </w:r>
            <w:r>
              <w:rPr>
                <w:rFonts w:hint="eastAsia" w:ascii="宋体" w:hAnsi="宋体" w:cs="宋体"/>
                <w:color w:val="auto"/>
                <w:sz w:val="24"/>
                <w:highlight w:val="none"/>
                <w:lang w:val="en-US" w:eastAsia="zh-CN"/>
              </w:rPr>
              <w:t xml:space="preserve">84</w:t>
            </w:r>
            <w:r>
              <w:rPr>
                <w:rFonts w:hint="eastAsia" w:ascii="宋体" w:hAnsi="宋体" w:cs="宋体"/>
                <w:color w:val="auto"/>
                <w:sz w:val="24"/>
                <w:highlight w:val="none"/>
              </w:rPr>
              <w:t xml:space="preserve">万人民币，最高限价为</w:t>
            </w:r>
            <w:r>
              <w:rPr>
                <w:rFonts w:hint="eastAsia" w:ascii="宋体" w:hAnsi="宋体" w:cs="宋体"/>
                <w:color w:val="auto"/>
                <w:sz w:val="24"/>
                <w:highlight w:val="none"/>
                <w:lang w:val="en-US" w:eastAsia="zh-CN"/>
              </w:rPr>
              <w:t xml:space="preserve">84</w:t>
            </w:r>
            <w:r>
              <w:rPr>
                <w:rFonts w:hint="eastAsia" w:ascii="宋体" w:hAnsi="宋体" w:cs="宋体"/>
                <w:color w:val="auto"/>
                <w:sz w:val="24"/>
                <w:highlight w:val="none"/>
              </w:rPr>
              <w:t xml:space="preserve">万元人民币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单价</w:t>
            </w:r>
            <w:r>
              <w:rPr>
                <w:rFonts w:hint="eastAsia" w:ascii="宋体" w:hAnsi="宋体" w:cs="宋体"/>
                <w:color w:val="auto"/>
                <w:sz w:val="24"/>
                <w:highlight w:val="none"/>
                <w:lang w:val="en-US" w:eastAsia="zh-CN"/>
              </w:rPr>
              <w:t xml:space="preserve">2100</w:t>
            </w:r>
            <w:r>
              <w:rPr>
                <w:rFonts w:hint="eastAsia" w:ascii="宋体" w:hAnsi="宋体" w:cs="宋体"/>
                <w:color w:val="auto"/>
                <w:sz w:val="24"/>
                <w:highlight w:val="none"/>
              </w:rPr>
              <w:t xml:space="preserve">元/批次；超过最高限价（单价）按无效响应处理。</w:t>
            </w:r>
            <w:r/>
          </w:p>
          <w:p>
            <w:pPr>
              <w:ind w:firstLine="482"/>
              <w:spacing w:line="264"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报价</w:t>
            </w:r>
            <w:r>
              <w:rPr>
                <w:rFonts w:hint="eastAsia" w:ascii="宋体" w:hAnsi="宋体" w:cs="宋体"/>
                <w:color w:val="auto"/>
                <w:sz w:val="24"/>
                <w:highlight w:val="none"/>
                <w:lang w:val="en-US" w:eastAsia="zh-CN"/>
              </w:rPr>
              <w:t xml:space="preserve">应包括招标文件中所确定的服务范围内所含的全部内容，以及为完成上述内容所需的全部费用。</w:t>
            </w:r>
            <w:r>
              <w:rPr>
                <w:rFonts w:hint="eastAsia" w:ascii="宋体" w:hAnsi="宋体" w:cs="宋体"/>
                <w:color w:val="auto"/>
                <w:sz w:val="24"/>
                <w:highlight w:val="none"/>
              </w:rPr>
              <w:t xml:space="preserve">涵盖检验费用、抽样费和买样费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人员保险费、税金等，以及工作中发生的人员、车辆等其他经费，</w:t>
            </w:r>
            <w:r>
              <w:rPr>
                <w:rFonts w:hint="eastAsia" w:ascii="宋体" w:hAnsi="宋体" w:cs="宋体"/>
                <w:color w:val="auto"/>
                <w:sz w:val="24"/>
                <w:highlight w:val="none"/>
                <w:lang w:val="zh-CN"/>
              </w:rPr>
              <w:t xml:space="preserve">投标人应充分了解该项目的总体情况、各类市场风险以及影响投标报价的其他要素风险。</w:t>
            </w:r>
            <w:r>
              <w:rPr>
                <w:rFonts w:hint="eastAsia" w:ascii="宋体" w:hAnsi="宋体" w:cs="宋体"/>
                <w:color w:val="auto"/>
                <w:sz w:val="24"/>
                <w:highlight w:val="none"/>
              </w:rPr>
              <w:t xml:space="preserve">采购人不再支付报价以外的任何费用。</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(十五)</w:t>
            </w:r>
            <w:r/>
          </w:p>
        </w:tc>
        <w:tc>
          <w:tcPr>
            <w:tcW w:w="8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以人民币报价。</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（十七）2（1）</w:t>
            </w:r>
            <w:r/>
          </w:p>
        </w:tc>
        <w:tc>
          <w:tcPr>
            <w:tcW w:w="8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线上要求：投标人应当通过“苏采云”系统提交数据电文形式的投标文件（即电子投标）。</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特别说明：投标人通过“苏采云”系统提交政府采购客户端工具导出加密的投标文件（后缀名为zip）。投标文件不得超过150M！（以系统为准）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投标文件的退还：</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说明：本项目采用线上投标，即投标人投标文件从政府采购客户端工具制作通过“苏采云”系统提交，未提供线上投标文件的，投标无效。</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(十八)4</w:t>
            </w:r>
            <w:r/>
          </w:p>
        </w:tc>
        <w:tc>
          <w:tcPr>
            <w:tcW w:w="8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见招标文件第三章《投标资料表》中12.1和12.2</w:t>
            </w:r>
            <w:r/>
          </w:p>
        </w:tc>
      </w:tr>
      <w:tr>
        <w:trPr>
          <w:jc w:val="center"/>
          <w:trHeight w:val="397"/>
        </w:trPr>
        <w:tc>
          <w:tcPr>
            <w:tcW w:w="1261" w:type="dxa"/>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(十八)</w:t>
            </w:r>
            <w:r/>
          </w:p>
        </w:tc>
        <w:tc>
          <w:tcPr>
            <w:tcW w:w="8730" w:type="dxa"/>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线上投标文件的密封、签署、盖章要求：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一、投标文件的密封（加密）要求：</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二、投标文件的签署要求：见招标文件第七章《投标文件相关格式》。</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说明：</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1、未进行线上投标并解密(因“苏采云”系统导致解密失败的除外)的，所导致的一切后果均由投标人承担。</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2、投标文件的签署要求：见招标文件第七章《投标文件相关格式》。</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3、投标文件的盖章要求：见招标文件第三章《投标资料表》和招标文件第七章《投标文件相关格式》。</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说明：投标人应凭CA数字证书以及自备的能够登录“苏采云”系统的电脑，在达到开标时间后，使用CA数字证书解密各自投标文件。</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投标人未按规定加密的投标文件，“苏采云”系统应当拒收并提示。</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(十九)</w:t>
            </w:r>
            <w:r/>
          </w:p>
        </w:tc>
        <w:tc>
          <w:tcPr>
            <w:tcW w:w="8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一、投标文件提交时间：</w:t>
            </w:r>
            <w:r>
              <w:rPr>
                <w:rFonts w:hint="eastAsia" w:ascii="宋体" w:hAnsi="宋体" w:cs="宋体"/>
                <w:b/>
                <w:bCs/>
                <w:color w:val="auto"/>
                <w:sz w:val="24"/>
                <w:highlight w:val="none"/>
                <w:lang w:eastAsia="zh-CN"/>
              </w:rPr>
              <w:t xml:space="preserve">2025年</w:t>
            </w:r>
            <w:r>
              <w:rPr>
                <w:rFonts w:hint="eastAsia" w:ascii="宋体" w:hAnsi="宋体" w:cs="宋体"/>
                <w:b/>
                <w:bCs/>
                <w:color w:val="auto"/>
                <w:sz w:val="24"/>
                <w:highlight w:val="none"/>
                <w:lang w:val="en-US" w:eastAsia="zh-CN"/>
              </w:rPr>
              <w:t xml:space="preserve">12</w:t>
            </w:r>
            <w:r>
              <w:rPr>
                <w:rFonts w:hint="eastAsia" w:ascii="宋体" w:hAnsi="宋体" w:cs="宋体"/>
                <w:b/>
                <w:bCs/>
                <w:color w:val="auto"/>
                <w:sz w:val="24"/>
                <w:highlight w:val="none"/>
                <w:lang w:eastAsia="zh-CN"/>
              </w:rPr>
              <w:t xml:space="preserve">月26日</w:t>
            </w:r>
            <w:r>
              <w:rPr>
                <w:rFonts w:hint="eastAsia" w:ascii="宋体" w:hAnsi="宋体" w:cs="宋体"/>
                <w:b/>
                <w:bCs/>
                <w:color w:val="auto"/>
                <w:sz w:val="24"/>
                <w:highlight w:val="none"/>
              </w:rPr>
              <w:t xml:space="preserve">09:30前</w:t>
            </w:r>
            <w:r>
              <w:rPr>
                <w:rFonts w:hint="eastAsia" w:ascii="宋体" w:hAnsi="宋体" w:cs="宋体"/>
                <w:color w:val="auto"/>
                <w:sz w:val="24"/>
                <w:highlight w:val="none"/>
              </w:rPr>
              <w:t xml:space="preserve">。</w:t>
            </w:r>
            <w:r/>
          </w:p>
          <w:p>
            <w:pPr>
              <w:ind w:firstLine="480"/>
              <w:rPr>
                <w:rFonts w:ascii="宋体" w:hAnsi="宋体" w:cs="宋体"/>
                <w:b/>
                <w:bCs/>
                <w:color w:val="auto"/>
                <w:sz w:val="24"/>
                <w:highlight w:val="none"/>
              </w:rPr>
            </w:pPr>
            <w:r>
              <w:rPr>
                <w:rFonts w:hint="eastAsia" w:ascii="宋体" w:hAnsi="宋体" w:cs="宋体"/>
                <w:color w:val="auto"/>
                <w:sz w:val="24"/>
                <w:highlight w:val="none"/>
              </w:rPr>
              <w:t xml:space="preserve">二、投标截止时间：</w:t>
            </w:r>
            <w:r>
              <w:rPr>
                <w:rFonts w:hint="eastAsia" w:ascii="宋体" w:hAnsi="宋体" w:cs="宋体"/>
                <w:b/>
                <w:bCs/>
                <w:color w:val="auto"/>
                <w:sz w:val="24"/>
                <w:highlight w:val="none"/>
                <w:lang w:eastAsia="zh-CN"/>
              </w:rPr>
              <w:t xml:space="preserve">2025年</w:t>
            </w:r>
            <w:r>
              <w:rPr>
                <w:rFonts w:hint="eastAsia" w:ascii="宋体" w:hAnsi="宋体" w:cs="宋体"/>
                <w:b/>
                <w:bCs/>
                <w:color w:val="auto"/>
                <w:sz w:val="24"/>
                <w:highlight w:val="none"/>
                <w:lang w:val="en-US" w:eastAsia="zh-CN"/>
              </w:rPr>
              <w:t xml:space="preserve">12</w:t>
            </w:r>
            <w:r>
              <w:rPr>
                <w:rFonts w:hint="eastAsia" w:ascii="宋体" w:hAnsi="宋体" w:cs="宋体"/>
                <w:b/>
                <w:bCs/>
                <w:color w:val="auto"/>
                <w:sz w:val="24"/>
                <w:highlight w:val="none"/>
                <w:lang w:eastAsia="zh-CN"/>
              </w:rPr>
              <w:t xml:space="preserve">月26日</w:t>
            </w:r>
            <w:r>
              <w:rPr>
                <w:rFonts w:hint="eastAsia" w:ascii="宋体" w:hAnsi="宋体" w:cs="宋体"/>
                <w:b/>
                <w:bCs/>
                <w:color w:val="auto"/>
                <w:sz w:val="24"/>
                <w:highlight w:val="none"/>
              </w:rPr>
              <w:t xml:space="preserve">北京时间09:30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三、投标文件的提交与接收地点：投标人应当通过“苏采云”系统提交数据电文形式的投标文件（即电子投标），“苏采云”系统自动接收。</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4"/>
                <w:highlight w:val="none"/>
              </w:rPr>
              <w:t xml:space="preserve">（二十）</w:t>
            </w:r>
            <w:r/>
          </w:p>
        </w:tc>
        <w:tc>
          <w:tcPr>
            <w:tcW w:w="8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rPr>
                <w:rFonts w:ascii="宋体" w:hAnsi="宋体" w:cs="宋体"/>
                <w:color w:val="auto"/>
                <w:sz w:val="24"/>
                <w:highlight w:val="none"/>
              </w:rPr>
            </w:pPr>
            <w:r>
              <w:rPr>
                <w:rFonts w:hint="eastAsia" w:ascii="宋体" w:hAnsi="宋体" w:cs="宋体"/>
                <w:color w:val="auto"/>
                <w:sz w:val="24"/>
                <w:highlight w:val="none"/>
              </w:rPr>
              <w:t xml:space="preserve">投标人应携带 CA 数字证书以及自备的能够登录“苏采云”系统的电脑在到达开标时间后，使用 CA 数字证书解密各自投标文件。</w:t>
            </w:r>
            <w:r/>
          </w:p>
        </w:tc>
      </w:tr>
      <w:tr>
        <w:trPr>
          <w:jc w:val="center"/>
          <w:trHeight w:val="397"/>
        </w:trPr>
        <w:tc>
          <w:tcPr>
            <w:tcW w:w="1261" w:type="dxa"/>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四、开标</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(二十五)1</w:t>
            </w:r>
            <w:r/>
          </w:p>
        </w:tc>
        <w:tc>
          <w:tcPr>
            <w:tcW w:w="8730" w:type="dxa"/>
            <w:vAlign w:val="center"/>
            <w:textDirection w:val="lrTb"/>
            <w:noWrap w:val="false"/>
          </w:tcPr>
          <w:p>
            <w:pPr>
              <w:jc w:val="left"/>
              <w:rPr>
                <w:rFonts w:ascii="宋体" w:hAnsi="宋体" w:cs="宋体"/>
                <w:b/>
                <w:bCs/>
                <w:color w:val="auto"/>
                <w:sz w:val="24"/>
                <w:highlight w:val="none"/>
              </w:rPr>
            </w:pPr>
            <w:r>
              <w:rPr>
                <w:rFonts w:hint="eastAsia" w:ascii="宋体" w:hAnsi="宋体" w:cs="宋体"/>
                <w:b/>
                <w:color w:val="auto"/>
                <w:sz w:val="24"/>
                <w:highlight w:val="none"/>
              </w:rPr>
              <w:t xml:space="preserve">开标时间：</w:t>
            </w:r>
            <w:r>
              <w:rPr>
                <w:rFonts w:hint="eastAsia" w:ascii="宋体" w:hAnsi="宋体" w:cs="宋体"/>
                <w:b/>
                <w:bCs/>
                <w:color w:val="auto"/>
                <w:sz w:val="24"/>
                <w:highlight w:val="none"/>
                <w:lang w:eastAsia="zh-CN"/>
              </w:rPr>
              <w:t xml:space="preserve">2025年</w:t>
            </w:r>
            <w:r>
              <w:rPr>
                <w:rFonts w:hint="eastAsia" w:ascii="宋体" w:hAnsi="宋体" w:cs="宋体"/>
                <w:b/>
                <w:bCs/>
                <w:color w:val="auto"/>
                <w:sz w:val="24"/>
                <w:highlight w:val="none"/>
                <w:lang w:val="en-US" w:eastAsia="zh-CN"/>
              </w:rPr>
              <w:t xml:space="preserve">12</w:t>
            </w:r>
            <w:r>
              <w:rPr>
                <w:rFonts w:hint="eastAsia" w:ascii="宋体" w:hAnsi="宋体" w:cs="宋体"/>
                <w:b/>
                <w:bCs/>
                <w:color w:val="auto"/>
                <w:sz w:val="24"/>
                <w:highlight w:val="none"/>
                <w:lang w:eastAsia="zh-CN"/>
              </w:rPr>
              <w:t xml:space="preserve">月26日</w:t>
            </w:r>
            <w:r>
              <w:rPr>
                <w:rFonts w:hint="eastAsia" w:ascii="宋体" w:hAnsi="宋体" w:cs="宋体"/>
                <w:b/>
                <w:bCs/>
                <w:color w:val="auto"/>
                <w:sz w:val="24"/>
                <w:highlight w:val="none"/>
              </w:rPr>
              <w:t xml:space="preserve">北京时间09:30</w:t>
            </w:r>
            <w:r/>
          </w:p>
          <w:p>
            <w:pPr>
              <w:jc w:val="left"/>
              <w:rPr>
                <w:rFonts w:ascii="宋体" w:hAnsi="宋体" w:cs="宋体"/>
                <w:color w:val="auto"/>
                <w:sz w:val="24"/>
                <w:highlight w:val="none"/>
              </w:rPr>
            </w:pPr>
            <w:r>
              <w:rPr>
                <w:rFonts w:hint="eastAsia" w:ascii="宋体" w:hAnsi="宋体" w:cs="宋体"/>
                <w:b/>
                <w:color w:val="auto"/>
                <w:sz w:val="24"/>
                <w:highlight w:val="none"/>
              </w:rPr>
              <w:t xml:space="preserve">开标地点：</w:t>
            </w:r>
            <w:r>
              <w:rPr>
                <w:rFonts w:hint="eastAsia" w:ascii="宋体" w:hAnsi="宋体" w:cs="宋体"/>
                <w:color w:val="auto"/>
                <w:sz w:val="24"/>
                <w:highlight w:val="none"/>
              </w:rPr>
              <w:t xml:space="preserve">“苏采云”系统（网址：http://jszfcg.jsczt.cn/）“开标大厅”。</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(二十五)3</w:t>
            </w:r>
            <w:r/>
          </w:p>
        </w:tc>
        <w:tc>
          <w:tcPr>
            <w:tcW w:w="8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所有投标人解密（或解密时间）结束后，“苏采云”系统生成开标记录并向社会公众公布，但依法应当保密的除外。</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五、评标</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(二十六)2</w:t>
            </w:r>
            <w:r/>
          </w:p>
        </w:tc>
        <w:tc>
          <w:tcPr>
            <w:tcW w:w="8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评标小组的组建：5人。由政府采购专家组成（从《江苏省政府采购专家库》随机抽取）。</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(二十七)</w:t>
            </w:r>
            <w:r/>
          </w:p>
        </w:tc>
        <w:tc>
          <w:tcPr>
            <w:tcW w:w="8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采用综合评分法。各评标因素权数详见第四章《评标标准》中《评分细则》</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(二十八)1</w:t>
            </w:r>
            <w:r/>
          </w:p>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W w:w="8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1、推荐中标候选投标人名单。中标候选投标人数量应当根据采购需要确定，但必须按顺序排列中标候选投标人。</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采用综合评分法的，按评审后得分由高到低顺序排列。得分相同的，按投标报价由低到高顺序排列；投标报价得分相同的，按商务部分得分由高到低顺序排列。投标报价且商务得分相同的，按技术方案和项目实施方案得分由高到低顺序排列。</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（二十九）</w:t>
            </w:r>
            <w:r/>
          </w:p>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W w:w="8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1.评标中需要投标人对投标文件澄清或者说明的，应当通过“苏采云”系统交换数据电文。在评标期间，请投标人保持在线。</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97"/>
        </w:trPr>
        <w:tc>
          <w:tcPr>
            <w:tcW w:w="1261" w:type="dxa"/>
            <w:vAlign w:val="center"/>
            <w:textDirection w:val="lrTb"/>
            <w:noWrap w:val="false"/>
          </w:tcPr>
          <w:p>
            <w:pPr>
              <w:jc w:val="center"/>
              <w:rPr>
                <w:rFonts w:ascii="宋体" w:hAnsi="宋体" w:cs="宋体"/>
                <w:color w:val="auto"/>
                <w:sz w:val="22"/>
                <w:szCs w:val="22"/>
                <w:highlight w:val="none"/>
              </w:rPr>
            </w:pPr>
            <w:r>
              <w:rPr>
                <w:rFonts w:ascii="宋体" w:hAnsi="宋体" w:cs="宋体"/>
                <w:color w:val="auto"/>
                <w:sz w:val="22"/>
                <w:szCs w:val="22"/>
                <w:highlight w:val="none"/>
              </w:rPr>
            </w:r>
            <w:r/>
          </w:p>
        </w:tc>
        <w:tc>
          <w:tcPr>
            <w:tcW w:w="873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七、采购合同</w:t>
            </w:r>
            <w:r/>
          </w:p>
        </w:tc>
      </w:tr>
      <w:tr>
        <w:trPr>
          <w:jc w:val="center"/>
          <w:trHeight w:val="71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(三十七)1</w:t>
            </w:r>
            <w:r/>
          </w:p>
        </w:tc>
        <w:tc>
          <w:tcPr>
            <w:tcW w:w="8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采购人与中标、成交投标人应当在中标、成交通知书发出之日起30日内，按照采购文件确定的事项签订采购合同。</w:t>
            </w:r>
            <w:r/>
          </w:p>
        </w:tc>
      </w:tr>
      <w:tr>
        <w:trPr>
          <w:jc w:val="center"/>
          <w:trHeight w:val="397"/>
        </w:trPr>
        <w:tc>
          <w:tcPr>
            <w:tcW w:w="1261" w:type="dxa"/>
            <w:vAlign w:val="center"/>
            <w:textDirection w:val="lrTb"/>
            <w:noWrap w:val="false"/>
          </w:tcPr>
          <w:p>
            <w:pPr>
              <w:rPr>
                <w:rFonts w:ascii="宋体" w:hAnsi="宋体" w:cs="宋体"/>
                <w:color w:val="auto"/>
                <w:sz w:val="22"/>
                <w:szCs w:val="22"/>
                <w:highlight w:val="none"/>
              </w:rPr>
            </w:pPr>
            <w:r>
              <w:rPr>
                <w:rFonts w:hint="eastAsia" w:ascii="宋体" w:hAnsi="宋体" w:cs="宋体"/>
                <w:color w:val="auto"/>
                <w:sz w:val="22"/>
                <w:szCs w:val="22"/>
                <w:highlight w:val="none"/>
              </w:rPr>
              <w:t xml:space="preserve">(三十八)</w:t>
            </w:r>
            <w:r/>
          </w:p>
        </w:tc>
        <w:tc>
          <w:tcPr>
            <w:tcW w:w="8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履约保证金：无需提交。</w:t>
            </w:r>
            <w:r/>
          </w:p>
        </w:tc>
      </w:tr>
      <w:tr>
        <w:trPr>
          <w:jc w:val="center"/>
          <w:trHeight w:val="329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(四十)</w:t>
            </w:r>
            <w:r/>
          </w:p>
        </w:tc>
        <w:tc>
          <w:tcPr>
            <w:tcW w:w="8730" w:type="dxa"/>
            <w:vAlign w:val="center"/>
            <w:textDirection w:val="lrTb"/>
            <w:noWrap w:val="false"/>
          </w:tcPr>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1、投标人认为采购文件、采购过程和中标、成交结果使自己的权益受到损害的，可以在知道或者应知其权益受到损害之日起七个工作日内，以书面形式向采购人或采购代理机构提出质疑。</w:t>
            </w:r>
            <w:r/>
          </w:p>
          <w:p>
            <w:pPr>
              <w:ind w:firstLine="480"/>
              <w:rPr>
                <w:rFonts w:ascii="宋体" w:hAnsi="宋体" w:cs="宋体"/>
                <w:color w:val="auto"/>
                <w:sz w:val="24"/>
                <w:szCs w:val="24"/>
                <w:highlight w:val="none"/>
              </w:rPr>
            </w:pPr>
            <w:r>
              <w:rPr>
                <w:rFonts w:hint="eastAsia" w:ascii="宋体" w:hAnsi="宋体" w:cs="宋体"/>
                <w:color w:val="auto"/>
                <w:sz w:val="24"/>
                <w:szCs w:val="24"/>
                <w:highlight w:val="none"/>
              </w:rPr>
              <w:t xml:space="preserve">2、质疑和投诉按《政府采购质疑和投诉办法》执行，投标人在法定质疑期内一次性提出针对同一采购程序环节的质疑。</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质疑时效期间的计算：（1）对采购文件提出质疑的，为收到采购文件之日或采购文件公告期限届满之日；（2）对招标过程提出质疑的，为招标程序各环节结束之日；（3）对成交结果提出质疑的，为成交公告期限届满之日。</w:t>
            </w:r>
            <w:r/>
          </w:p>
          <w:p>
            <w:pPr>
              <w:rPr>
                <w:rFonts w:ascii="宋体" w:hAnsi="宋体" w:cs="宋体"/>
                <w:color w:val="auto"/>
                <w:sz w:val="24"/>
                <w:highlight w:val="none"/>
              </w:rPr>
            </w:pPr>
            <w:r>
              <w:rPr>
                <w:rFonts w:hint="eastAsia" w:ascii="宋体" w:hAnsi="宋体" w:cs="宋体"/>
                <w:color w:val="auto"/>
                <w:sz w:val="24"/>
                <w:highlight w:val="none"/>
              </w:rPr>
              <w:t xml:space="preserve">质疑接收人：</w:t>
            </w:r>
            <w:r>
              <w:rPr>
                <w:rFonts w:hint="eastAsia" w:ascii="宋体" w:hAnsi="宋体" w:cs="宋体"/>
                <w:color w:val="auto"/>
                <w:sz w:val="24"/>
                <w:highlight w:val="none"/>
                <w:lang w:eastAsia="zh-CN"/>
              </w:rPr>
              <w:t xml:space="preserve">朱文颖、朱柄昱</w:t>
            </w:r>
            <w:r>
              <w:rPr>
                <w:rFonts w:hint="eastAsia" w:ascii="宋体" w:hAnsi="宋体" w:cs="宋体"/>
                <w:color w:val="auto"/>
                <w:sz w:val="24"/>
                <w:highlight w:val="none"/>
              </w:rPr>
              <w:t xml:space="preserve">   联系电话：0516-85610680</w:t>
            </w:r>
            <w:r/>
          </w:p>
          <w:p>
            <w:pPr>
              <w:rPr>
                <w:rFonts w:ascii="宋体" w:hAnsi="宋体" w:cs="宋体"/>
                <w:color w:val="auto"/>
                <w:sz w:val="24"/>
                <w:highlight w:val="none"/>
              </w:rPr>
            </w:pPr>
            <w:r>
              <w:rPr>
                <w:rFonts w:hint="eastAsia" w:ascii="宋体" w:hAnsi="宋体" w:cs="宋体"/>
                <w:color w:val="auto"/>
                <w:sz w:val="24"/>
                <w:highlight w:val="none"/>
              </w:rPr>
              <w:t xml:space="preserve">地址：徐州市泉山区软件园路2号</w:t>
            </w:r>
            <w:r/>
          </w:p>
        </w:tc>
      </w:tr>
      <w:tr>
        <w:trPr>
          <w:jc w:val="center"/>
          <w:trHeight w:val="907"/>
        </w:trPr>
        <w:tc>
          <w:tcPr>
            <w:tcW w:w="1261" w:type="dxa"/>
            <w:vAlign w:val="center"/>
            <w:textDirection w:val="lrTb"/>
            <w:noWrap w:val="false"/>
          </w:tcPr>
          <w:p>
            <w:pPr>
              <w:jc w:val="center"/>
              <w:rPr>
                <w:rFonts w:ascii="宋体" w:hAnsi="宋体" w:cs="宋体"/>
                <w:color w:val="auto"/>
                <w:sz w:val="22"/>
                <w:szCs w:val="22"/>
                <w:highlight w:val="none"/>
              </w:rPr>
            </w:pPr>
            <w:r>
              <w:rPr>
                <w:rFonts w:hint="eastAsia" w:ascii="宋体" w:hAnsi="宋体" w:cs="宋体"/>
                <w:color w:val="auto"/>
                <w:sz w:val="22"/>
                <w:szCs w:val="22"/>
                <w:highlight w:val="none"/>
              </w:rPr>
              <w:t xml:space="preserve">附加说明</w:t>
            </w:r>
            <w:r/>
          </w:p>
        </w:tc>
        <w:tc>
          <w:tcPr>
            <w:tcW w:w="8730" w:type="dxa"/>
            <w:vAlign w:val="center"/>
            <w:textDirection w:val="lrTb"/>
            <w:noWrap w:val="false"/>
          </w:tcPr>
          <w:p>
            <w:pPr>
              <w:ind w:firstLine="480"/>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中标人在收到中标通知书时，须向采购代理机构提交《开标一览表》和《分项价格表》的数据文件（WORD格式）。</w:t>
            </w:r>
            <w:r/>
          </w:p>
        </w:tc>
      </w:tr>
    </w:tbl>
    <w:p>
      <w:pPr>
        <w:rPr>
          <w:rFonts w:ascii="宋体" w:hAnsi="宋体" w:cs="宋体"/>
          <w:color w:val="auto"/>
          <w:sz w:val="30"/>
          <w:szCs w:val="30"/>
          <w:highlight w:val="none"/>
        </w:rPr>
        <w:sectPr>
          <w:headerReference w:type="default" r:id="rId10"/>
          <w:footerReference w:type="default" r:id="rId13"/>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cs="宋体"/>
          <w:color w:val="auto"/>
          <w:sz w:val="30"/>
          <w:szCs w:val="30"/>
          <w:highlight w:val="none"/>
        </w:rPr>
      </w:r>
      <w:r/>
    </w:p>
    <w:p>
      <w:pPr>
        <w:ind w:left="0" w:right="0" w:firstLine="240"/>
        <w:jc w:val="both"/>
        <w:keepLines w:val="0"/>
        <w:keepNext w:val="0"/>
        <w:pageBreakBefore w:val="0"/>
        <w:spacing w:beforeAutospacing="0" w:afterAutospacing="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附件：</w:t>
      </w:r>
      <w:r/>
    </w:p>
    <w:p>
      <w:pPr>
        <w:ind w:left="0" w:right="0"/>
        <w:jc w:val="center"/>
        <w:keepLines w:val="0"/>
        <w:keepNext w:val="0"/>
        <w:pageBreakBefore w:val="0"/>
        <w:spacing w:beforeAutospacing="0" w:afterAutospacing="0" w:line="360" w:lineRule="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招标代理服务收费标准</w:t>
      </w:r>
      <w:r/>
    </w:p>
    <w:tbl>
      <w:tblPr>
        <w:tblStyle w:val="805"/>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vAlign w:val="bottom"/>
            <w:textDirection w:val="lrTb"/>
            <w:noWrap w:val="false"/>
          </w:tcPr>
          <w:p>
            <w:pPr>
              <w:ind w:left="0" w:right="0" w:firstLine="472"/>
              <w:jc w:val="center"/>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vAlign w:val="bottom"/>
            <w:textDirection w:val="lrTb"/>
            <w:noWrap w:val="false"/>
          </w:tcPr>
          <w:p>
            <w:pPr>
              <w:ind w:left="0" w:right="0" w:firstLine="472"/>
              <w:jc w:val="center"/>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费率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vAlign w:val="bottom"/>
            <w:textDirection w:val="lrTb"/>
            <w:noWrap w:val="false"/>
          </w:tcPr>
          <w:p>
            <w:pPr>
              <w:ind w:left="0" w:right="0" w:firstLine="472"/>
              <w:jc w:val="left"/>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vAlign w:val="bottom"/>
            <w:textDirection w:val="lrTb"/>
            <w:noWrap w:val="false"/>
          </w:tcPr>
          <w:p>
            <w:pPr>
              <w:ind w:left="0" w:right="0" w:firstLine="472"/>
              <w:jc w:val="center"/>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vAlign w:val="bottom"/>
            <w:textDirection w:val="lrTb"/>
            <w:noWrap w:val="false"/>
          </w:tcPr>
          <w:p>
            <w:pPr>
              <w:ind w:left="0" w:right="0" w:firstLine="472"/>
              <w:jc w:val="left"/>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vAlign w:val="bottom"/>
            <w:textDirection w:val="lrTb"/>
            <w:noWrap w:val="false"/>
          </w:tcPr>
          <w:p>
            <w:pPr>
              <w:ind w:left="0" w:right="0" w:firstLine="472"/>
              <w:jc w:val="center"/>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vAlign w:val="bottom"/>
            <w:textDirection w:val="lrTb"/>
            <w:noWrap w:val="false"/>
          </w:tcPr>
          <w:p>
            <w:pPr>
              <w:ind w:left="0" w:right="0" w:firstLine="472"/>
              <w:jc w:val="left"/>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vAlign w:val="bottom"/>
            <w:textDirection w:val="lrTb"/>
            <w:noWrap w:val="false"/>
          </w:tcPr>
          <w:p>
            <w:pPr>
              <w:ind w:left="0" w:right="0" w:firstLine="472"/>
              <w:jc w:val="center"/>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vAlign w:val="bottom"/>
            <w:textDirection w:val="lrTb"/>
            <w:noWrap w:val="false"/>
          </w:tcPr>
          <w:p>
            <w:pPr>
              <w:ind w:left="0" w:right="0" w:firstLine="472"/>
              <w:jc w:val="left"/>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vAlign w:val="bottom"/>
            <w:textDirection w:val="lrTb"/>
            <w:noWrap w:val="false"/>
          </w:tcPr>
          <w:p>
            <w:pPr>
              <w:ind w:left="0" w:right="0" w:firstLine="472"/>
              <w:jc w:val="center"/>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vAlign w:val="bottom"/>
            <w:textDirection w:val="lrTb"/>
            <w:noWrap w:val="false"/>
          </w:tcPr>
          <w:p>
            <w:pPr>
              <w:ind w:left="0" w:right="0" w:firstLine="472"/>
              <w:jc w:val="left"/>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vAlign w:val="bottom"/>
            <w:textDirection w:val="lrTb"/>
            <w:noWrap w:val="false"/>
          </w:tcPr>
          <w:p>
            <w:pPr>
              <w:ind w:left="0" w:right="0" w:firstLine="472"/>
              <w:jc w:val="center"/>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bottom"/>
            <w:textDirection w:val="lrTb"/>
            <w:noWrap w:val="false"/>
          </w:tcPr>
          <w:p>
            <w:pPr>
              <w:ind w:left="0" w:right="0" w:firstLine="472"/>
              <w:jc w:val="left"/>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vAlign w:val="bottom"/>
            <w:textDirection w:val="lrTb"/>
            <w:noWrap w:val="false"/>
          </w:tcPr>
          <w:p>
            <w:pPr>
              <w:ind w:left="0" w:right="0" w:firstLine="472"/>
              <w:jc w:val="center"/>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vAlign w:val="bottom"/>
            <w:textDirection w:val="lrTb"/>
            <w:noWrap w:val="false"/>
          </w:tcPr>
          <w:p>
            <w:pPr>
              <w:ind w:left="0" w:right="0" w:firstLine="472"/>
              <w:jc w:val="left"/>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vAlign w:val="bottom"/>
            <w:textDirection w:val="lrTb"/>
            <w:noWrap w:val="false"/>
          </w:tcPr>
          <w:p>
            <w:pPr>
              <w:ind w:left="0" w:right="0" w:firstLine="472"/>
              <w:jc w:val="center"/>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vAlign w:val="bottom"/>
            <w:textDirection w:val="lrTb"/>
            <w:noWrap w:val="false"/>
          </w:tcPr>
          <w:p>
            <w:pPr>
              <w:ind w:left="0" w:right="0" w:firstLine="472"/>
              <w:jc w:val="left"/>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vAlign w:val="bottom"/>
            <w:textDirection w:val="lrTb"/>
            <w:noWrap w:val="false"/>
          </w:tcPr>
          <w:p>
            <w:pPr>
              <w:ind w:left="0" w:right="0" w:firstLine="472"/>
              <w:jc w:val="center"/>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vAlign w:val="bottom"/>
            <w:textDirection w:val="lrTb"/>
            <w:noWrap w:val="false"/>
          </w:tcPr>
          <w:p>
            <w:pPr>
              <w:ind w:left="0" w:right="0" w:firstLine="472"/>
              <w:jc w:val="left"/>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vAlign w:val="bottom"/>
            <w:textDirection w:val="lrTb"/>
            <w:noWrap w:val="false"/>
          </w:tcPr>
          <w:p>
            <w:pPr>
              <w:ind w:left="0" w:right="0" w:firstLine="472"/>
              <w:jc w:val="center"/>
              <w:keepLines w:val="0"/>
              <w:keepNext w:val="0"/>
              <w:pageBreakBefore w:val="0"/>
              <w:spacing w:beforeAutospacing="0" w:afterAutospacing="0" w:line="360" w:lineRule="auto"/>
              <w:rPr>
                <w:rFonts w:hint="default" w:ascii="仿宋" w:hAnsi="仿宋" w:eastAsia="仿宋" w:cs="仿宋"/>
                <w:color w:val="auto"/>
                <w:sz w:val="22"/>
                <w:szCs w:val="22"/>
                <w:highlight w:val="none"/>
              </w:rPr>
            </w:pPr>
            <w:r>
              <w:rPr>
                <w:rFonts w:hint="default" w:ascii="仿宋" w:hAnsi="仿宋" w:eastAsia="仿宋" w:cs="仿宋"/>
                <w:color w:val="auto"/>
                <w:sz w:val="22"/>
                <w:szCs w:val="22"/>
                <w:highlight w:val="none"/>
              </w:rPr>
              <w:t xml:space="preserve">0.005%</w:t>
            </w:r>
            <w:r/>
          </w:p>
        </w:tc>
      </w:tr>
    </w:tbl>
    <w:p>
      <w:pPr>
        <w:ind w:left="0" w:right="0"/>
        <w:keepLines w:val="0"/>
        <w:keepNext w:val="0"/>
        <w:pageBreakBefore w:val="0"/>
        <w:spacing w:beforeAutospacing="0" w:afterAutospacing="0"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left="0" w:right="0" w:firstLine="472"/>
        <w:keepLines w:val="0"/>
        <w:keepNext w:val="0"/>
        <w:pageBreakBefore w:val="0"/>
        <w:spacing w:beforeAutospacing="0" w:afterAutospacing="0"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说明：</w:t>
      </w:r>
      <w:r/>
    </w:p>
    <w:p>
      <w:pPr>
        <w:ind w:left="0" w:right="0" w:firstLine="472"/>
        <w:keepLines w:val="0"/>
        <w:keepNext w:val="0"/>
        <w:pageBreakBefore w:val="0"/>
        <w:spacing w:beforeAutospacing="0" w:afterAutospacing="0"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1、按上表计算的收费为代理服务全过程的收费金额。各社会代理机构不再收取采购文件制作售卖费用。</w:t>
      </w:r>
      <w:r/>
    </w:p>
    <w:p>
      <w:pPr>
        <w:ind w:left="0" w:right="0" w:firstLine="472"/>
        <w:keepLines w:val="0"/>
        <w:keepNext w:val="0"/>
        <w:pageBreakBefore w:val="0"/>
        <w:spacing w:beforeAutospacing="0" w:afterAutospacing="0"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2、代理服务费按差额定率累进法计算。</w:t>
      </w:r>
      <w:r/>
    </w:p>
    <w:p>
      <w:pPr>
        <w:ind w:left="0" w:right="0" w:firstLine="472"/>
        <w:keepLines w:val="0"/>
        <w:keepNext w:val="0"/>
        <w:pageBreakBefore w:val="0"/>
        <w:spacing w:beforeAutospacing="0" w:afterAutospacing="0"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3、代理服务费基准金额（按差额定率累进法计算的）=中标金额（按差额定率累进法计算的）*费率（%）</w:t>
      </w:r>
      <w:r/>
    </w:p>
    <w:p>
      <w:pPr>
        <w:ind w:left="0" w:right="0" w:firstLine="472"/>
        <w:keepLines w:val="0"/>
        <w:keepNext w:val="0"/>
        <w:pageBreakBefore w:val="0"/>
        <w:spacing w:beforeAutospacing="0" w:afterAutospacing="0"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4、代理服务费应收取金额=代理服务费基准金额（按差额定率累进法计算的）的合计数。</w:t>
      </w:r>
      <w:r/>
    </w:p>
    <w:p>
      <w:pPr>
        <w:ind w:left="0" w:right="0" w:firstLine="472"/>
        <w:keepLines w:val="0"/>
        <w:keepNext w:val="0"/>
        <w:pageBreakBefore w:val="0"/>
        <w:spacing w:beforeAutospacing="0" w:afterAutospacing="0"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5、定点类等无金额或事先不能计算出价格总额的项目，按中标（成交）金额100万元计算服务费。</w:t>
      </w:r>
      <w:r/>
    </w:p>
    <w:p>
      <w:pPr>
        <w:ind w:left="0" w:right="0" w:firstLine="472"/>
        <w:keepLines w:val="0"/>
        <w:keepNext w:val="0"/>
        <w:pageBreakBefore w:val="0"/>
        <w:spacing w:beforeAutospacing="0" w:afterAutospacing="0" w:line="240" w:lineRule="auto"/>
        <w:rPr>
          <w:rFonts w:hint="eastAsia" w:ascii="仿宋" w:hAnsi="仿宋" w:eastAsia="仿宋" w:cs="仿宋"/>
          <w:color w:val="auto"/>
          <w:szCs w:val="21"/>
          <w:highlight w:val="none"/>
        </w:rPr>
      </w:pPr>
      <w:r>
        <w:rPr>
          <w:rFonts w:hint="eastAsia" w:ascii="仿宋" w:hAnsi="仿宋" w:eastAsia="仿宋" w:cs="仿宋"/>
          <w:color w:val="auto"/>
          <w:szCs w:val="21"/>
          <w:highlight w:val="none"/>
        </w:rPr>
        <w:t xml:space="preserve">6.有分包(分标段)的以一个项目计算。</w:t>
      </w:r>
      <w:r/>
    </w:p>
    <w:p>
      <w:pPr>
        <w:ind w:left="0" w:right="0" w:firstLine="472"/>
        <w:keepLines w:val="0"/>
        <w:keepNext w:val="0"/>
        <w:pageBreakBefore w:val="0"/>
        <w:spacing w:beforeAutospacing="0" w:afterAutospacing="0" w:line="240" w:lineRule="auto"/>
        <w:rPr>
          <w:rFonts w:hint="eastAsia" w:ascii="仿宋" w:hAnsi="仿宋" w:eastAsia="仿宋" w:cs="仿宋"/>
          <w:color w:val="auto"/>
          <w:sz w:val="24"/>
          <w:highlight w:val="none"/>
        </w:rPr>
      </w:pPr>
      <w:r>
        <w:rPr>
          <w:rFonts w:hint="eastAsia" w:ascii="仿宋" w:hAnsi="仿宋" w:eastAsia="仿宋" w:cs="仿宋"/>
          <w:color w:val="auto"/>
          <w:szCs w:val="21"/>
          <w:highlight w:val="none"/>
        </w:rPr>
        <w:t xml:space="preserve">7.以上价格为协会指导价，双方可根据项目难易程度和优质优价原则协商确定。</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highlight w:val="none"/>
        </w:rPr>
      </w:pPr>
      <w:r>
        <w:rPr>
          <w:rFonts w:ascii="宋体" w:hAnsi="宋体" w:cs="宋体"/>
          <w:color w:val="auto"/>
          <w:highlight w:val="none"/>
        </w:rPr>
      </w:r>
      <w:r/>
    </w:p>
    <w:p>
      <w:pPr>
        <w:pStyle w:val="880"/>
        <w:ind w:firstLine="420"/>
        <w:jc w:val="center"/>
        <w:spacing w:line="360" w:lineRule="auto"/>
        <w:widowControl/>
        <w:rPr>
          <w:rFonts w:hint="eastAsia" w:ascii="宋体" w:hAnsi="宋体" w:cs="宋体"/>
          <w:b/>
          <w:bCs/>
          <w:color w:val="auto"/>
          <w:sz w:val="30"/>
          <w:szCs w:val="44"/>
          <w:highlight w:val="none"/>
        </w:rPr>
        <w:outlineLvl w:val="9"/>
      </w:pPr>
      <w:r/>
      <w:bookmarkStart w:id="5" w:name="_Toc9429"/>
      <w:r/>
      <w:bookmarkStart w:id="6" w:name="_Toc29967"/>
      <w:r/>
      <w:r/>
    </w:p>
    <w:p>
      <w:pPr>
        <w:pStyle w:val="880"/>
        <w:ind w:firstLine="420"/>
        <w:jc w:val="center"/>
        <w:spacing w:line="360" w:lineRule="auto"/>
        <w:widowControl/>
        <w:rPr>
          <w:rFonts w:hint="eastAsia" w:ascii="宋体" w:hAnsi="宋体" w:cs="宋体"/>
          <w:b/>
          <w:bCs/>
          <w:color w:val="auto"/>
          <w:sz w:val="30"/>
          <w:szCs w:val="44"/>
          <w:highlight w:val="none"/>
        </w:rPr>
        <w:outlineLvl w:val="9"/>
      </w:pPr>
      <w:r>
        <w:rPr>
          <w:rFonts w:hint="eastAsia" w:ascii="宋体" w:hAnsi="宋体" w:cs="宋体"/>
          <w:b/>
          <w:bCs/>
          <w:color w:val="auto"/>
          <w:sz w:val="30"/>
          <w:szCs w:val="44"/>
          <w:highlight w:val="none"/>
        </w:rPr>
      </w:r>
      <w:r/>
    </w:p>
    <w:p>
      <w:pPr>
        <w:pStyle w:val="880"/>
        <w:ind w:firstLine="420"/>
        <w:jc w:val="center"/>
        <w:spacing w:line="360" w:lineRule="auto"/>
        <w:widowControl/>
        <w:rPr>
          <w:rFonts w:hint="eastAsia" w:ascii="宋体" w:hAnsi="宋体" w:cs="宋体"/>
          <w:b/>
          <w:bCs/>
          <w:color w:val="auto"/>
          <w:sz w:val="30"/>
          <w:szCs w:val="44"/>
          <w:highlight w:val="none"/>
        </w:rPr>
        <w:outlineLvl w:val="9"/>
      </w:pPr>
      <w:r>
        <w:rPr>
          <w:rFonts w:hint="eastAsia" w:ascii="宋体" w:hAnsi="宋体" w:cs="宋体"/>
          <w:b/>
          <w:bCs/>
          <w:color w:val="auto"/>
          <w:sz w:val="30"/>
          <w:szCs w:val="44"/>
          <w:highlight w:val="none"/>
        </w:rPr>
      </w:r>
      <w:r/>
    </w:p>
    <w:p>
      <w:pPr>
        <w:pStyle w:val="880"/>
        <w:ind w:firstLine="420"/>
        <w:jc w:val="center"/>
        <w:spacing w:line="360" w:lineRule="auto"/>
        <w:widowControl/>
        <w:rPr>
          <w:rFonts w:hint="eastAsia" w:ascii="宋体" w:hAnsi="宋体" w:cs="宋体"/>
          <w:b/>
          <w:bCs/>
          <w:color w:val="auto"/>
          <w:sz w:val="30"/>
          <w:szCs w:val="44"/>
          <w:highlight w:val="none"/>
        </w:rPr>
        <w:outlineLvl w:val="9"/>
      </w:pPr>
      <w:r>
        <w:rPr>
          <w:rFonts w:hint="eastAsia" w:ascii="宋体" w:hAnsi="宋体" w:cs="宋体"/>
          <w:b/>
          <w:bCs/>
          <w:color w:val="auto"/>
          <w:sz w:val="30"/>
          <w:szCs w:val="44"/>
          <w:highlight w:val="none"/>
        </w:rPr>
      </w:r>
      <w:r/>
    </w:p>
    <w:p>
      <w:pPr>
        <w:rPr>
          <w:rFonts w:hint="eastAsia" w:ascii="宋体" w:hAnsi="宋体" w:cs="宋体"/>
          <w:b/>
          <w:bCs/>
          <w:color w:val="auto"/>
          <w:sz w:val="30"/>
          <w:szCs w:val="44"/>
          <w:highlight w:val="none"/>
        </w:rPr>
      </w:pPr>
      <w:r>
        <w:rPr>
          <w:rFonts w:hint="eastAsia" w:ascii="宋体" w:hAnsi="宋体" w:cs="宋体"/>
          <w:b/>
          <w:bCs/>
          <w:color w:val="auto"/>
          <w:sz w:val="30"/>
          <w:szCs w:val="44"/>
          <w:highlight w:val="none"/>
        </w:rPr>
        <w:br w:type="page" w:clear="all"/>
      </w:r>
      <w:r/>
    </w:p>
    <w:p>
      <w:pPr>
        <w:pStyle w:val="880"/>
        <w:ind w:firstLine="420"/>
        <w:jc w:val="center"/>
        <w:spacing w:line="360" w:lineRule="auto"/>
        <w:widowControl/>
        <w:rPr>
          <w:rStyle w:val="886"/>
          <w:rFonts w:ascii="宋体" w:hAnsi="宋体" w:eastAsia="宋体" w:cs="宋体"/>
          <w:color w:val="auto"/>
          <w:highlight w:val="none"/>
        </w:rPr>
        <w:outlineLvl w:val="0"/>
      </w:pPr>
      <w:r>
        <w:rPr>
          <w:rFonts w:hint="eastAsia" w:ascii="宋体" w:hAnsi="宋体" w:cs="宋体"/>
          <w:b/>
          <w:bCs/>
          <w:color w:val="auto"/>
          <w:sz w:val="30"/>
          <w:szCs w:val="44"/>
          <w:highlight w:val="none"/>
        </w:rPr>
        <w:t xml:space="preserve">第四章  </w:t>
      </w:r>
      <w:r>
        <w:rPr>
          <w:rStyle w:val="886"/>
          <w:rFonts w:hint="eastAsia" w:ascii="宋体" w:hAnsi="宋体" w:eastAsia="宋体" w:cs="宋体"/>
          <w:color w:val="auto"/>
          <w:highlight w:val="none"/>
        </w:rPr>
        <w:t xml:space="preserve">评标标准</w:t>
      </w:r>
      <w:bookmarkEnd w:id="5"/>
      <w:r/>
      <w:bookmarkEnd w:id="6"/>
      <w:r/>
      <w:r/>
    </w:p>
    <w:tbl>
      <w:tblPr>
        <w:tblStyle w:val="805"/>
        <w:tblW w:w="10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9"/>
        <w:gridCol w:w="1368"/>
        <w:gridCol w:w="8060"/>
      </w:tblGrid>
      <w:tr>
        <w:trPr>
          <w:jc w:val="center"/>
          <w:trHeight w:val="567"/>
        </w:trPr>
        <w:tc>
          <w:tcPr>
            <w:gridSpan w:val="2"/>
            <w:tcW w:w="2527" w:type="dxa"/>
            <w:vAlign w:val="center"/>
            <w:textDirection w:val="lrTb"/>
            <w:noWrap w:val="false"/>
          </w:tcPr>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评审因素</w:t>
            </w:r>
            <w:r/>
          </w:p>
        </w:tc>
        <w:tc>
          <w:tcPr>
            <w:tcW w:w="8060" w:type="dxa"/>
            <w:vAlign w:val="center"/>
            <w:textDirection w:val="lrTb"/>
            <w:noWrap w:val="false"/>
          </w:tcPr>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评审因素细化和量化</w:t>
            </w:r>
            <w:r/>
          </w:p>
        </w:tc>
      </w:tr>
      <w:tr>
        <w:trPr>
          <w:jc w:val="center"/>
          <w:trHeight w:val="567"/>
        </w:trPr>
        <w:tc>
          <w:tcPr>
            <w:tcW w:w="1159" w:type="dxa"/>
            <w:vAlign w:val="center"/>
            <w:textDirection w:val="lrTb"/>
            <w:noWrap w:val="false"/>
          </w:tcPr>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价格</w:t>
            </w:r>
            <w:r/>
          </w:p>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部分</w:t>
            </w:r>
            <w:r/>
          </w:p>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（10分）</w:t>
            </w:r>
            <w:r/>
          </w:p>
        </w:tc>
        <w:tc>
          <w:tcPr>
            <w:tcW w:w="1368" w:type="dxa"/>
            <w:vAlign w:val="center"/>
            <w:textDirection w:val="lrTb"/>
            <w:noWrap w:val="false"/>
          </w:tcPr>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价格</w:t>
            </w:r>
            <w:r/>
          </w:p>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（10分）</w:t>
            </w:r>
            <w:r/>
          </w:p>
        </w:tc>
        <w:tc>
          <w:tcPr>
            <w:tcW w:w="8060" w:type="dxa"/>
            <w:vAlign w:val="center"/>
            <w:textDirection w:val="lrTb"/>
            <w:noWrap w:val="false"/>
          </w:tcPr>
          <w:p>
            <w:pPr>
              <w:pStyle w:val="883"/>
              <w:jc w:val="left"/>
              <w:spacing w:line="264"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采用低价优先法计算，即满足招标文件要求且投标价格最低的投标报价为评标基准价，其价格分为满分。其他投标人的价格分统一按照下列公式计算：</w:t>
            </w:r>
            <w:r/>
          </w:p>
          <w:p>
            <w:pPr>
              <w:jc w:val="left"/>
              <w:spacing w:line="264" w:lineRule="auto"/>
              <w:rPr>
                <w:rFonts w:ascii="宋体" w:hAnsi="宋体" w:cs="宋体"/>
                <w:color w:val="auto"/>
                <w:highlight w:val="none"/>
              </w:rPr>
            </w:pPr>
            <w:r>
              <w:rPr>
                <w:rFonts w:hint="eastAsia" w:ascii="宋体" w:hAnsi="宋体" w:cs="宋体"/>
                <w:color w:val="auto"/>
                <w:highlight w:val="none"/>
              </w:rPr>
              <w:t xml:space="preserve">投标报价得分=(评标基准价/投标报价)×10</w:t>
            </w:r>
            <w:r/>
          </w:p>
          <w:p>
            <w:pPr>
              <w:pStyle w:val="883"/>
              <w:jc w:val="left"/>
              <w:spacing w:line="264"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得分四舍五入保留小数点后2位。</w:t>
            </w:r>
            <w:r/>
          </w:p>
        </w:tc>
      </w:tr>
      <w:tr>
        <w:trPr>
          <w:cantSplit/>
          <w:jc w:val="center"/>
          <w:trHeight w:val="1278"/>
        </w:trPr>
        <w:tc>
          <w:tcPr>
            <w:tcW w:w="1159" w:type="dxa"/>
            <w:vAlign w:val="center"/>
            <w:textDirection w:val="lrTb"/>
            <w:noWrap w:val="false"/>
          </w:tcPr>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商务</w:t>
            </w:r>
            <w:r/>
          </w:p>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部分</w:t>
            </w:r>
            <w:r/>
          </w:p>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4</w:t>
            </w:r>
            <w:r>
              <w:rPr>
                <w:rFonts w:hint="eastAsia" w:ascii="宋体" w:hAnsi="宋体" w:cs="宋体"/>
                <w:color w:val="auto"/>
                <w:sz w:val="21"/>
                <w:szCs w:val="21"/>
                <w:highlight w:val="none"/>
              </w:rPr>
              <w:t xml:space="preserve">分）</w:t>
            </w:r>
            <w:r/>
          </w:p>
        </w:tc>
        <w:tc>
          <w:tcPr>
            <w:tcW w:w="1368" w:type="dxa"/>
            <w:vAlign w:val="center"/>
            <w:textDirection w:val="lrTb"/>
            <w:noWrap w:val="false"/>
          </w:tcPr>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类似业绩</w:t>
            </w:r>
            <w:r/>
          </w:p>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（4分）</w:t>
            </w:r>
            <w:r/>
          </w:p>
        </w:tc>
        <w:tc>
          <w:tcPr>
            <w:tcW w:w="8060" w:type="dxa"/>
            <w:textDirection w:val="lrTb"/>
            <w:noWrap w:val="false"/>
          </w:tcPr>
          <w:p>
            <w:pPr>
              <w:pStyle w:val="964"/>
              <w:ind w:left="0"/>
              <w:jc w:val="left"/>
              <w:spacing w:after="0" w:line="264"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投标人自202</w:t>
            </w:r>
            <w:r>
              <w:rPr>
                <w:rFonts w:hint="eastAsia" w:ascii="宋体" w:hAnsi="宋体" w:cs="宋体"/>
                <w:color w:val="auto"/>
                <w:sz w:val="21"/>
                <w:szCs w:val="21"/>
                <w:highlight w:val="none"/>
                <w:lang w:val="en-US" w:eastAsia="zh-CN"/>
              </w:rPr>
              <w:t xml:space="preserve">2</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11</w:t>
            </w:r>
            <w:r>
              <w:rPr>
                <w:rFonts w:hint="eastAsia" w:ascii="宋体" w:hAnsi="宋体" w:cs="宋体"/>
                <w:color w:val="auto"/>
                <w:sz w:val="21"/>
                <w:szCs w:val="21"/>
                <w:highlight w:val="none"/>
              </w:rPr>
              <w:t xml:space="preserve">月1日（含）以来承担过类似检测项目的，每有一个得2分，最高得4分</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rPr>
              <w:t xml:space="preserve">最低得0分。</w:t>
            </w:r>
            <w:r/>
          </w:p>
          <w:p>
            <w:pPr>
              <w:pStyle w:val="884"/>
              <w:ind w:left="0" w:right="0" w:firstLine="0"/>
              <w:jc w:val="left"/>
              <w:spacing w:line="264" w:lineRule="auto"/>
              <w:rPr>
                <w:rFonts w:ascii="宋体" w:hAnsi="宋体" w:eastAsia="宋体" w:cs="宋体"/>
                <w:color w:val="auto"/>
                <w:sz w:val="21"/>
                <w:szCs w:val="21"/>
                <w:highlight w:val="none"/>
                <w:lang w:bidi="hi-IN"/>
              </w:rPr>
            </w:pPr>
            <w:r>
              <w:rPr>
                <w:rFonts w:hint="eastAsia" w:ascii="宋体" w:hAnsi="宋体" w:eastAsia="宋体" w:cs="宋体"/>
                <w:b/>
                <w:bCs/>
                <w:color w:val="auto"/>
                <w:sz w:val="21"/>
                <w:szCs w:val="21"/>
                <w:highlight w:val="none"/>
                <w:lang w:bidi="hi-IN"/>
              </w:rPr>
              <w:t xml:space="preserve">注：时间以合同签订时间为准。同一采购人同样业务不同年份的业绩算一份。投标文件中提供业绩证明材料（检测合同或任务委托书等）</w:t>
            </w:r>
            <w:r>
              <w:rPr>
                <w:rFonts w:hint="eastAsia" w:ascii="宋体" w:hAnsi="宋体" w:eastAsia="宋体" w:cs="宋体"/>
                <w:b/>
                <w:bCs/>
                <w:color w:val="auto"/>
                <w:sz w:val="21"/>
                <w:szCs w:val="21"/>
                <w:highlight w:val="none"/>
                <w:lang w:eastAsia="zh-CN" w:bidi="hi-IN"/>
              </w:rPr>
              <w:t xml:space="preserve">扫描件</w:t>
            </w:r>
            <w:r>
              <w:rPr>
                <w:rFonts w:hint="eastAsia" w:ascii="宋体" w:hAnsi="宋体" w:eastAsia="宋体" w:cs="宋体"/>
                <w:b/>
                <w:bCs/>
                <w:color w:val="auto"/>
                <w:sz w:val="21"/>
                <w:szCs w:val="21"/>
                <w:highlight w:val="none"/>
                <w:lang w:bidi="hi-IN"/>
              </w:rPr>
              <w:t xml:space="preserve">。否则不得分。</w:t>
            </w:r>
            <w:r/>
          </w:p>
        </w:tc>
      </w:tr>
      <w:tr>
        <w:trPr>
          <w:cantSplit/>
          <w:jc w:val="center"/>
          <w:trHeight w:val="3056"/>
        </w:trPr>
        <w:tc>
          <w:tcPr>
            <w:tcW w:w="1159" w:type="dxa"/>
            <w:vAlign w:val="center"/>
            <w:vMerge w:val="restart"/>
            <w:textDirection w:val="lrTb"/>
            <w:noWrap w:val="false"/>
          </w:tcPr>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技术</w:t>
            </w:r>
            <w:r/>
          </w:p>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部分</w:t>
            </w:r>
            <w:r/>
          </w:p>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86</w:t>
            </w:r>
            <w:r>
              <w:rPr>
                <w:rFonts w:hint="eastAsia" w:ascii="宋体" w:hAnsi="宋体" w:cs="宋体"/>
                <w:color w:val="auto"/>
                <w:sz w:val="21"/>
                <w:szCs w:val="21"/>
                <w:highlight w:val="none"/>
              </w:rPr>
              <w:t xml:space="preserve">分）</w:t>
            </w:r>
            <w:r/>
          </w:p>
          <w:p>
            <w:pPr>
              <w:pStyle w:val="883"/>
              <w:jc w:val="center"/>
              <w:rPr>
                <w:rFonts w:ascii="宋体" w:hAnsi="宋体" w:cs="宋体"/>
                <w:color w:val="auto"/>
                <w:sz w:val="21"/>
                <w:szCs w:val="21"/>
                <w:highlight w:val="none"/>
              </w:rPr>
            </w:pPr>
            <w:r>
              <w:rPr>
                <w:rFonts w:ascii="宋体" w:hAnsi="宋体" w:cs="宋体"/>
                <w:color w:val="auto"/>
                <w:sz w:val="21"/>
                <w:szCs w:val="21"/>
                <w:highlight w:val="none"/>
              </w:rPr>
            </w:r>
            <w:r/>
          </w:p>
        </w:tc>
        <w:tc>
          <w:tcPr>
            <w:tcW w:w="1368" w:type="dxa"/>
            <w:vAlign w:val="center"/>
            <w:textDirection w:val="lrTb"/>
            <w:noWrap w:val="false"/>
          </w:tcPr>
          <w:p>
            <w:pPr>
              <w:jc w:val="center"/>
              <w:spacing w:line="264" w:lineRule="auto"/>
              <w:rPr>
                <w:rFonts w:ascii="宋体" w:hAnsi="宋体" w:cs="宋体"/>
                <w:color w:val="auto"/>
                <w:highlight w:val="none"/>
              </w:rPr>
            </w:pPr>
            <w:r>
              <w:rPr>
                <w:rFonts w:hint="eastAsia" w:ascii="宋体" w:hAnsi="宋体" w:cs="宋体"/>
                <w:color w:val="auto"/>
                <w:highlight w:val="none"/>
              </w:rPr>
              <w:t xml:space="preserve">整体服务</w:t>
            </w:r>
            <w:r/>
          </w:p>
          <w:p>
            <w:pPr>
              <w:jc w:val="center"/>
              <w:spacing w:line="264" w:lineRule="auto"/>
              <w:rPr>
                <w:rFonts w:ascii="宋体" w:hAnsi="宋体" w:cs="宋体"/>
                <w:color w:val="auto"/>
                <w:highlight w:val="none"/>
                <w:lang w:eastAsia="en-US"/>
              </w:rPr>
            </w:pPr>
            <w:r>
              <w:rPr>
                <w:rFonts w:hint="eastAsia" w:ascii="宋体" w:hAnsi="宋体" w:cs="宋体"/>
                <w:color w:val="auto"/>
                <w:highlight w:val="none"/>
              </w:rPr>
              <w:t xml:space="preserve">方案</w:t>
            </w:r>
            <w:r/>
          </w:p>
          <w:p>
            <w:pPr>
              <w:jc w:val="center"/>
              <w:spacing w:line="264" w:lineRule="auto"/>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5</w:t>
            </w:r>
            <w:r>
              <w:rPr>
                <w:rFonts w:hint="eastAsia" w:ascii="宋体" w:hAnsi="宋体" w:cs="宋体"/>
                <w:color w:val="auto"/>
                <w:highlight w:val="none"/>
              </w:rPr>
              <w:t xml:space="preserve">分）</w:t>
            </w:r>
            <w:r/>
          </w:p>
        </w:tc>
        <w:tc>
          <w:tcPr>
            <w:tcW w:w="8060" w:type="dxa"/>
            <w:vAlign w:val="center"/>
            <w:textDirection w:val="lrTb"/>
            <w:noWrap w:val="false"/>
          </w:tcPr>
          <w:p>
            <w:pPr>
              <w:jc w:val="left"/>
              <w:spacing w:line="264" w:lineRule="auto"/>
              <w:rPr>
                <w:rFonts w:hint="eastAsia" w:ascii="宋体" w:hAnsi="宋体" w:cs="宋体"/>
                <w:color w:val="auto"/>
                <w:highlight w:val="none"/>
                <w:lang w:val="en-US" w:eastAsia="zh-CN"/>
              </w:rPr>
            </w:pPr>
            <w:r>
              <w:rPr>
                <w:rFonts w:hint="eastAsia" w:ascii="宋体" w:hAnsi="宋体" w:cs="宋体"/>
                <w:color w:val="auto"/>
                <w:highlight w:val="none"/>
              </w:rPr>
              <w:t xml:space="preserve">根据投标人提供的项目整体服务方案内容进行评价</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服务实施方案中需要对本项目的投标供应商内部工作部署、抽样、样品接收及核查、检验、配合异议处理及复检的工作内容和安排、检验结果的处理、保密工作、检验结果数据追溯、应急工作的实施等内容进行合理安排和制定。按方案的科学性、完整性、合理性、可行性等进行比较评分。</w:t>
            </w:r>
            <w:r/>
          </w:p>
          <w:p>
            <w:pPr>
              <w:jc w:val="left"/>
              <w:spacing w:line="264"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（1）方案内容完整、合理、可行性强，得15分；</w:t>
            </w:r>
            <w:r/>
          </w:p>
          <w:p>
            <w:pPr>
              <w:jc w:val="left"/>
              <w:spacing w:line="264"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（2）方案内容较为完整，较合理性和可行性，得12分；</w:t>
            </w:r>
            <w:r/>
          </w:p>
          <w:p>
            <w:pPr>
              <w:jc w:val="left"/>
              <w:spacing w:line="264"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（3）方案内容基本完整，有一定的合理性和可行性，得9分</w:t>
            </w:r>
            <w:r/>
          </w:p>
          <w:p>
            <w:pPr>
              <w:jc w:val="left"/>
              <w:spacing w:line="264"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方案内容有漏缺、可行性不强，得6分；</w:t>
            </w:r>
            <w:r/>
          </w:p>
          <w:p>
            <w:pPr>
              <w:jc w:val="left"/>
              <w:spacing w:line="264"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（4）有重大缺陷得1分。</w:t>
            </w:r>
            <w:r/>
          </w:p>
          <w:p>
            <w:pPr>
              <w:jc w:val="left"/>
              <w:spacing w:line="264" w:lineRule="auto"/>
              <w:rPr>
                <w:rFonts w:ascii="宋体" w:hAnsi="宋体" w:cs="宋体"/>
                <w:color w:val="auto"/>
                <w:highlight w:val="none"/>
              </w:rPr>
            </w:pPr>
            <w:r>
              <w:rPr>
                <w:rFonts w:hint="eastAsia" w:ascii="宋体" w:hAnsi="宋体" w:cs="宋体"/>
                <w:color w:val="auto"/>
                <w:highlight w:val="none"/>
                <w:lang w:val="en-US" w:eastAsia="zh-CN"/>
              </w:rPr>
              <w:t xml:space="preserve">本项最高得15分，</w:t>
            </w:r>
            <w:r>
              <w:rPr>
                <w:rFonts w:hint="eastAsia" w:ascii="宋体" w:hAnsi="宋体" w:cs="宋体"/>
                <w:color w:val="auto"/>
                <w:highlight w:val="none"/>
                <w:lang w:eastAsia="zh-CN"/>
              </w:rPr>
              <w:t xml:space="preserve">未提供</w:t>
            </w:r>
            <w:r>
              <w:rPr>
                <w:rFonts w:hint="eastAsia" w:ascii="宋体" w:hAnsi="宋体" w:cs="宋体"/>
                <w:color w:val="auto"/>
                <w:highlight w:val="none"/>
                <w:lang w:val="en-US" w:eastAsia="zh-CN"/>
              </w:rPr>
              <w:t xml:space="preserve">得0分。</w:t>
            </w:r>
            <w:r/>
          </w:p>
        </w:tc>
      </w:tr>
      <w:tr>
        <w:trPr>
          <w:cantSplit/>
          <w:jc w:val="center"/>
          <w:trHeight w:val="3056"/>
        </w:trPr>
        <w:tc>
          <w:tcPr>
            <w:tcW w:w="1159" w:type="dxa"/>
            <w:vAlign w:val="center"/>
            <w:vMerge w:val="continue"/>
            <w:textDirection w:val="lrTb"/>
            <w:noWrap w:val="false"/>
          </w:tcPr>
          <w:p>
            <w:pPr>
              <w:pStyle w:val="883"/>
              <w:jc w:val="center"/>
              <w:rPr>
                <w:rFonts w:ascii="宋体" w:hAnsi="宋体" w:cs="宋体"/>
                <w:color w:val="auto"/>
                <w:sz w:val="21"/>
                <w:szCs w:val="21"/>
                <w:highlight w:val="none"/>
              </w:rPr>
            </w:pPr>
            <w:r>
              <w:rPr>
                <w:rFonts w:ascii="宋体" w:hAnsi="宋体" w:cs="宋体"/>
                <w:color w:val="auto"/>
                <w:sz w:val="21"/>
                <w:szCs w:val="21"/>
                <w:highlight w:val="none"/>
              </w:rPr>
            </w:r>
            <w:r/>
          </w:p>
        </w:tc>
        <w:tc>
          <w:tcPr>
            <w:shd w:val="clear" w:color="auto" w:fill="auto"/>
            <w:tcW w:w="1368" w:type="dxa"/>
            <w:vAlign w:val="center"/>
            <w:textDirection w:val="lrTb"/>
            <w:noWrap w:val="false"/>
          </w:tcPr>
          <w:p>
            <w:pPr>
              <w:pStyle w:val="883"/>
              <w:jc w:val="center"/>
              <w:rPr>
                <w:rFonts w:ascii="宋体" w:hAnsi="宋体" w:cs="宋体"/>
                <w:color w:val="auto"/>
                <w:sz w:val="21"/>
                <w:szCs w:val="21"/>
                <w:highlight w:val="none"/>
              </w:rPr>
            </w:pPr>
            <w:r>
              <w:rPr>
                <w:rFonts w:hint="eastAsia" w:ascii="宋体" w:hAnsi="宋体" w:cs="宋体"/>
                <w:color w:val="auto"/>
                <w:sz w:val="21"/>
                <w:szCs w:val="21"/>
                <w:highlight w:val="none"/>
              </w:rPr>
              <w:t xml:space="preserve">人员配备</w:t>
            </w:r>
            <w:r/>
          </w:p>
          <w:p>
            <w:pPr>
              <w:pStyle w:val="883"/>
              <w:jc w:val="center"/>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15</w:t>
            </w:r>
            <w:r>
              <w:rPr>
                <w:rFonts w:hint="eastAsia" w:ascii="宋体" w:hAnsi="宋体" w:cs="宋体"/>
                <w:color w:val="auto"/>
                <w:sz w:val="21"/>
                <w:szCs w:val="21"/>
                <w:highlight w:val="none"/>
              </w:rPr>
              <w:t xml:space="preserve">分）</w:t>
            </w:r>
            <w:r/>
          </w:p>
        </w:tc>
        <w:tc>
          <w:tcPr>
            <w:shd w:val="clear" w:color="auto" w:fill="auto"/>
            <w:tcW w:w="8060" w:type="dxa"/>
            <w:vAlign w:val="center"/>
            <w:textDirection w:val="lrTb"/>
            <w:noWrap w:val="false"/>
          </w:tcPr>
          <w:p>
            <w:pPr>
              <w:spacing w:line="360" w:lineRule="auto"/>
              <w:rPr>
                <w:rFonts w:hint="default" w:ascii="宋体" w:hAnsi="宋体" w:cs="宋体"/>
                <w:color w:val="auto"/>
                <w:szCs w:val="21"/>
                <w:highlight w:val="none"/>
                <w:lang w:val="en-US" w:eastAsia="zh-CN" w:bidi="ar"/>
              </w:rPr>
            </w:pPr>
            <w:r>
              <w:rPr>
                <w:rFonts w:hint="eastAsia" w:ascii="宋体" w:hAnsi="宋体" w:cs="宋体"/>
                <w:color w:val="auto"/>
                <w:szCs w:val="21"/>
                <w:highlight w:val="none"/>
                <w:lang w:val="en-US" w:eastAsia="zh-CN" w:bidi="ar"/>
              </w:rPr>
              <w:t xml:space="preserve">根据投标人</w:t>
            </w:r>
            <w:r>
              <w:rPr>
                <w:rFonts w:hint="eastAsia" w:ascii="宋体" w:hAnsi="宋体" w:cs="宋体"/>
                <w:color w:val="auto"/>
                <w:szCs w:val="21"/>
                <w:highlight w:val="none"/>
                <w:lang w:bidi="ar"/>
              </w:rPr>
              <w:t xml:space="preserve">拟投入本次抽检工作的项目负责人职称</w:t>
            </w:r>
            <w:r>
              <w:rPr>
                <w:rFonts w:hint="eastAsia" w:ascii="宋体" w:hAnsi="宋体" w:cs="宋体"/>
                <w:color w:val="auto"/>
                <w:szCs w:val="21"/>
                <w:highlight w:val="none"/>
                <w:lang w:val="en-US" w:eastAsia="zh-CN" w:bidi="ar"/>
              </w:rPr>
              <w:t xml:space="preserve">或资质情况</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bidi="ar"/>
              </w:rPr>
              <w:t xml:space="preserve">项目团队</w:t>
            </w:r>
            <w:r>
              <w:rPr>
                <w:rFonts w:hint="eastAsia" w:ascii="宋体" w:hAnsi="宋体" w:cs="宋体"/>
                <w:color w:val="auto"/>
                <w:szCs w:val="21"/>
                <w:highlight w:val="none"/>
                <w:lang w:val="en-US" w:eastAsia="zh-CN" w:bidi="ar"/>
              </w:rPr>
              <w:t xml:space="preserve">其他</w:t>
            </w:r>
            <w:r>
              <w:rPr>
                <w:rFonts w:hint="eastAsia" w:ascii="宋体" w:hAnsi="宋体" w:cs="宋体"/>
                <w:color w:val="auto"/>
                <w:szCs w:val="21"/>
                <w:highlight w:val="none"/>
                <w:lang w:bidi="ar"/>
              </w:rPr>
              <w:t xml:space="preserve">成员（包括抽样相关人员、样品接收人员、检验相关人员等）</w:t>
            </w:r>
            <w:r>
              <w:rPr>
                <w:rFonts w:hint="eastAsia" w:ascii="宋体" w:hAnsi="宋体" w:cs="宋体"/>
                <w:color w:val="auto"/>
                <w:szCs w:val="21"/>
                <w:highlight w:val="none"/>
                <w:lang w:val="en-US" w:eastAsia="zh-CN" w:bidi="ar"/>
              </w:rPr>
              <w:t xml:space="preserve">配备情况综合评审：</w:t>
            </w:r>
            <w:r/>
          </w:p>
          <w:p>
            <w:pPr>
              <w:numPr>
                <w:ilvl w:val="0"/>
                <w:numId w:val="0"/>
              </w:num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所投</w:t>
            </w:r>
            <w:r>
              <w:rPr>
                <w:rFonts w:hint="eastAsia" w:ascii="宋体" w:hAnsi="宋体" w:cs="宋体"/>
                <w:color w:val="auto"/>
                <w:szCs w:val="21"/>
                <w:highlight w:val="none"/>
                <w:lang w:val="en-US" w:eastAsia="zh-CN" w:bidi="ar"/>
              </w:rPr>
              <w:t xml:space="preserve">项目</w:t>
            </w:r>
            <w:r>
              <w:rPr>
                <w:rFonts w:hint="eastAsia" w:ascii="宋体" w:hAnsi="宋体" w:cs="宋体"/>
                <w:color w:val="auto"/>
                <w:szCs w:val="21"/>
                <w:highlight w:val="none"/>
                <w:lang w:bidi="ar"/>
              </w:rPr>
              <w:t xml:space="preserve">产品的抽检工作项目团队岗位配置合理，人员分工明确，专业合理全面，经验丰富，得1</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分；</w:t>
            </w:r>
            <w:r/>
          </w:p>
          <w:p>
            <w:p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所投</w:t>
            </w:r>
            <w:r>
              <w:rPr>
                <w:rFonts w:hint="eastAsia" w:ascii="宋体" w:hAnsi="宋体" w:cs="宋体"/>
                <w:color w:val="auto"/>
                <w:szCs w:val="21"/>
                <w:highlight w:val="none"/>
                <w:lang w:val="en-US" w:eastAsia="zh-CN" w:bidi="ar"/>
              </w:rPr>
              <w:t xml:space="preserve">项目</w:t>
            </w:r>
            <w:r>
              <w:rPr>
                <w:rFonts w:hint="eastAsia" w:ascii="宋体" w:hAnsi="宋体" w:cs="宋体"/>
                <w:color w:val="auto"/>
                <w:szCs w:val="21"/>
                <w:highlight w:val="none"/>
                <w:lang w:bidi="ar"/>
              </w:rPr>
              <w:t xml:space="preserve">产品的抽检工作项目团队岗位配置较合理，人员分工较明确，专业基本覆盖，具备经验，得</w:t>
            </w:r>
            <w:r>
              <w:rPr>
                <w:rFonts w:hint="eastAsia" w:ascii="宋体" w:hAnsi="宋体" w:cs="宋体"/>
                <w:color w:val="auto"/>
                <w:szCs w:val="21"/>
                <w:highlight w:val="none"/>
                <w:lang w:val="en-US" w:eastAsia="zh-CN" w:bidi="ar"/>
              </w:rPr>
              <w:t xml:space="preserve">11</w:t>
            </w:r>
            <w:r>
              <w:rPr>
                <w:rFonts w:hint="eastAsia" w:ascii="宋体" w:hAnsi="宋体" w:cs="宋体"/>
                <w:color w:val="auto"/>
                <w:szCs w:val="21"/>
                <w:highlight w:val="none"/>
                <w:lang w:bidi="ar"/>
              </w:rPr>
              <w:t xml:space="preserve">分；</w:t>
            </w:r>
            <w:r/>
          </w:p>
          <w:p>
            <w:p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所投</w:t>
            </w:r>
            <w:r>
              <w:rPr>
                <w:rFonts w:hint="eastAsia" w:ascii="宋体" w:hAnsi="宋体" w:cs="宋体"/>
                <w:color w:val="auto"/>
                <w:szCs w:val="21"/>
                <w:highlight w:val="none"/>
                <w:lang w:val="en-US" w:eastAsia="zh-CN" w:bidi="ar"/>
              </w:rPr>
              <w:t xml:space="preserve">项目</w:t>
            </w:r>
            <w:r>
              <w:rPr>
                <w:rFonts w:hint="eastAsia" w:ascii="宋体" w:hAnsi="宋体" w:cs="宋体"/>
                <w:color w:val="auto"/>
                <w:szCs w:val="21"/>
                <w:highlight w:val="none"/>
                <w:lang w:bidi="ar"/>
              </w:rPr>
              <w:t xml:space="preserve">产品的抽检工作项目团队岗位配置</w:t>
            </w:r>
            <w:r>
              <w:rPr>
                <w:rFonts w:hint="eastAsia" w:ascii="宋体" w:hAnsi="宋体" w:cs="宋体"/>
                <w:color w:val="auto"/>
                <w:szCs w:val="21"/>
                <w:highlight w:val="none"/>
                <w:lang w:val="en-US" w:eastAsia="zh-CN" w:bidi="ar"/>
              </w:rPr>
              <w:t xml:space="preserve">基本</w:t>
            </w:r>
            <w:r>
              <w:rPr>
                <w:rFonts w:hint="eastAsia" w:ascii="宋体" w:hAnsi="宋体" w:cs="宋体"/>
                <w:color w:val="auto"/>
                <w:szCs w:val="21"/>
                <w:highlight w:val="none"/>
                <w:lang w:bidi="ar"/>
              </w:rPr>
              <w:t xml:space="preserve">合理，人员分工</w:t>
            </w:r>
            <w:r>
              <w:rPr>
                <w:rFonts w:hint="eastAsia" w:ascii="宋体" w:hAnsi="宋体" w:cs="宋体"/>
                <w:color w:val="auto"/>
                <w:szCs w:val="21"/>
                <w:highlight w:val="none"/>
                <w:lang w:val="en-US" w:eastAsia="zh-CN" w:bidi="ar"/>
              </w:rPr>
              <w:t xml:space="preserve">基本</w:t>
            </w:r>
            <w:r>
              <w:rPr>
                <w:rFonts w:hint="eastAsia" w:ascii="宋体" w:hAnsi="宋体" w:cs="宋体"/>
                <w:color w:val="auto"/>
                <w:szCs w:val="21"/>
                <w:highlight w:val="none"/>
                <w:lang w:bidi="ar"/>
              </w:rPr>
              <w:t xml:space="preserve">明确，专业基本覆盖，</w:t>
            </w:r>
            <w:r>
              <w:rPr>
                <w:rFonts w:hint="eastAsia" w:ascii="宋体" w:hAnsi="宋体" w:cs="宋体"/>
                <w:color w:val="auto"/>
                <w:szCs w:val="21"/>
                <w:highlight w:val="none"/>
                <w:lang w:val="en-US" w:eastAsia="zh-CN" w:bidi="ar"/>
              </w:rPr>
              <w:t xml:space="preserve">基本</w:t>
            </w:r>
            <w:r>
              <w:rPr>
                <w:rFonts w:hint="eastAsia" w:ascii="宋体" w:hAnsi="宋体" w:cs="宋体"/>
                <w:color w:val="auto"/>
                <w:szCs w:val="21"/>
                <w:highlight w:val="none"/>
                <w:lang w:bidi="ar"/>
              </w:rPr>
              <w:t xml:space="preserve">具备经验，得</w:t>
            </w:r>
            <w:r>
              <w:rPr>
                <w:rFonts w:hint="eastAsia" w:ascii="宋体" w:hAnsi="宋体" w:cs="宋体"/>
                <w:color w:val="auto"/>
                <w:szCs w:val="21"/>
                <w:highlight w:val="none"/>
                <w:lang w:val="en-US" w:eastAsia="zh-CN" w:bidi="ar"/>
              </w:rPr>
              <w:t xml:space="preserve">8</w:t>
            </w:r>
            <w:r>
              <w:rPr>
                <w:rFonts w:hint="eastAsia" w:ascii="宋体" w:hAnsi="宋体" w:cs="宋体"/>
                <w:color w:val="auto"/>
                <w:szCs w:val="21"/>
                <w:highlight w:val="none"/>
                <w:lang w:bidi="ar"/>
              </w:rPr>
              <w:t xml:space="preserve">分；</w:t>
            </w:r>
            <w:r/>
          </w:p>
          <w:p>
            <w:pPr>
              <w:spacing w:line="360" w:lineRule="auto"/>
              <w:rPr>
                <w:rFonts w:hint="eastAsia" w:ascii="宋体" w:hAnsi="宋体" w:cs="宋体"/>
                <w:color w:val="auto"/>
                <w:szCs w:val="21"/>
                <w:highlight w:val="none"/>
                <w:lang w:bidi="ar"/>
              </w:rPr>
            </w:pPr>
            <w:r>
              <w:rPr>
                <w:rFonts w:hint="eastAsia" w:ascii="宋体" w:hAnsi="宋体" w:cs="宋体"/>
                <w:color w:val="auto"/>
                <w:szCs w:val="21"/>
                <w:highlight w:val="none"/>
                <w:lang w:bidi="ar"/>
              </w:rPr>
              <w:t xml:space="preserve">所投</w:t>
            </w:r>
            <w:r>
              <w:rPr>
                <w:rFonts w:hint="eastAsia" w:ascii="宋体" w:hAnsi="宋体" w:cs="宋体"/>
                <w:color w:val="auto"/>
                <w:szCs w:val="21"/>
                <w:highlight w:val="none"/>
                <w:lang w:val="en-US" w:eastAsia="zh-CN" w:bidi="ar"/>
              </w:rPr>
              <w:t xml:space="preserve">项目</w:t>
            </w:r>
            <w:r>
              <w:rPr>
                <w:rFonts w:hint="eastAsia" w:ascii="宋体" w:hAnsi="宋体" w:cs="宋体"/>
                <w:color w:val="auto"/>
                <w:szCs w:val="21"/>
                <w:highlight w:val="none"/>
                <w:lang w:bidi="ar"/>
              </w:rPr>
              <w:t xml:space="preserve">产品的抽检工作项目团队岗位配置合理性一般，人员分工缺失，专业未全覆盖，经验欠缺，得</w:t>
            </w:r>
            <w:r>
              <w:rPr>
                <w:rFonts w:hint="eastAsia" w:ascii="宋体" w:hAnsi="宋体" w:cs="宋体"/>
                <w:color w:val="auto"/>
                <w:szCs w:val="21"/>
                <w:highlight w:val="none"/>
                <w:lang w:val="en-US" w:eastAsia="zh-CN" w:bidi="ar"/>
              </w:rPr>
              <w:t xml:space="preserve">5</w:t>
            </w:r>
            <w:r>
              <w:rPr>
                <w:rFonts w:hint="eastAsia" w:ascii="宋体" w:hAnsi="宋体" w:cs="宋体"/>
                <w:color w:val="auto"/>
                <w:szCs w:val="21"/>
                <w:highlight w:val="none"/>
                <w:lang w:bidi="ar"/>
              </w:rPr>
              <w:t xml:space="preserve">分；</w:t>
            </w:r>
            <w:r/>
          </w:p>
          <w:p>
            <w:pPr>
              <w:spacing w:line="360" w:lineRule="auto"/>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bidi="ar"/>
              </w:rPr>
              <w:t xml:space="preserve">岗位配置不完备</w:t>
            </w:r>
            <w:r>
              <w:rPr>
                <w:rFonts w:hint="eastAsia" w:ascii="宋体" w:hAnsi="宋体" w:cs="宋体"/>
                <w:color w:val="auto"/>
                <w:szCs w:val="21"/>
                <w:highlight w:val="none"/>
                <w:lang w:eastAsia="zh-CN" w:bidi="ar"/>
              </w:rPr>
              <w:t xml:space="preserve">，</w:t>
            </w:r>
            <w:r>
              <w:rPr>
                <w:rFonts w:hint="eastAsia" w:ascii="宋体" w:hAnsi="宋体" w:cs="宋体"/>
                <w:color w:val="auto"/>
                <w:szCs w:val="21"/>
                <w:highlight w:val="none"/>
                <w:lang w:val="en-US" w:eastAsia="zh-CN" w:bidi="ar"/>
              </w:rPr>
              <w:t xml:space="preserve">专业不合理得2</w:t>
            </w:r>
            <w:r>
              <w:rPr>
                <w:rFonts w:hint="eastAsia" w:ascii="宋体" w:hAnsi="宋体" w:cs="宋体"/>
                <w:color w:val="auto"/>
                <w:szCs w:val="21"/>
                <w:highlight w:val="none"/>
                <w:lang w:bidi="ar"/>
              </w:rPr>
              <w:t xml:space="preserve">分</w:t>
            </w:r>
            <w:r>
              <w:rPr>
                <w:rFonts w:hint="eastAsia" w:ascii="宋体" w:hAnsi="宋体" w:cs="宋体"/>
                <w:color w:val="auto"/>
                <w:szCs w:val="21"/>
                <w:highlight w:val="none"/>
                <w:lang w:eastAsia="zh-CN" w:bidi="ar"/>
              </w:rPr>
              <w:t xml:space="preserve">；</w:t>
            </w:r>
            <w:r/>
          </w:p>
          <w:p>
            <w:pPr>
              <w:spacing w:line="360" w:lineRule="auto"/>
              <w:rPr>
                <w:rFonts w:hint="eastAsia" w:ascii="Times New Roman" w:hAnsi="Times New Roman" w:eastAsia="宋体" w:cs="Times New Roman"/>
                <w:color w:val="auto"/>
                <w:sz w:val="21"/>
                <w:szCs w:val="21"/>
                <w:highlight w:val="none"/>
                <w:lang w:val="en-US" w:eastAsia="zh-CN" w:bidi="ar-SA"/>
              </w:rPr>
            </w:pPr>
            <w:r>
              <w:rPr>
                <w:rFonts w:hint="eastAsia" w:ascii="宋体" w:hAnsi="宋体" w:cs="宋体"/>
                <w:color w:val="auto"/>
                <w:szCs w:val="21"/>
                <w:highlight w:val="none"/>
                <w:lang w:val="en-US" w:eastAsia="zh-CN" w:bidi="ar"/>
              </w:rPr>
              <w:t xml:space="preserve">未提供人员或人员配置不合理得0分。</w:t>
            </w:r>
            <w:r/>
          </w:p>
        </w:tc>
      </w:tr>
      <w:tr>
        <w:trPr>
          <w:cantSplit/>
          <w:jc w:val="center"/>
          <w:trHeight w:val="2393"/>
        </w:trPr>
        <w:tc>
          <w:tcPr>
            <w:tcW w:w="1159" w:type="dxa"/>
            <w:vMerge w:val="continue"/>
            <w:textDirection w:val="lrTb"/>
            <w:noWrap w:val="false"/>
          </w:tcPr>
          <w:p>
            <w:pPr>
              <w:pStyle w:val="883"/>
              <w:rPr>
                <w:rFonts w:ascii="宋体" w:hAnsi="宋体" w:cs="宋体"/>
                <w:color w:val="auto"/>
                <w:sz w:val="21"/>
                <w:szCs w:val="21"/>
                <w:highlight w:val="none"/>
              </w:rPr>
            </w:pPr>
            <w:r>
              <w:rPr>
                <w:rFonts w:ascii="宋体" w:hAnsi="宋体" w:cs="宋体"/>
                <w:color w:val="auto"/>
                <w:sz w:val="21"/>
                <w:szCs w:val="21"/>
                <w:highlight w:val="none"/>
              </w:rPr>
            </w:r>
            <w:r/>
          </w:p>
        </w:tc>
        <w:tc>
          <w:tcPr>
            <w:tcW w:w="1368" w:type="dxa"/>
            <w:vAlign w:val="center"/>
            <w:textDirection w:val="lrTb"/>
            <w:noWrap w:val="false"/>
          </w:tcPr>
          <w:p>
            <w:pPr>
              <w:jc w:val="center"/>
              <w:spacing w:line="264" w:lineRule="auto"/>
              <w:rPr>
                <w:rFonts w:ascii="宋体" w:hAnsi="宋体" w:cs="宋体"/>
                <w:color w:val="auto"/>
                <w:highlight w:val="none"/>
              </w:rPr>
            </w:pPr>
            <w:r>
              <w:rPr>
                <w:rFonts w:hint="eastAsia" w:ascii="宋体" w:hAnsi="宋体" w:cs="宋体"/>
                <w:color w:val="auto"/>
                <w:highlight w:val="none"/>
              </w:rPr>
              <w:t xml:space="preserve">数据质量保证措施</w:t>
            </w:r>
            <w:r/>
          </w:p>
          <w:p>
            <w:pPr>
              <w:jc w:val="center"/>
              <w:spacing w:line="264" w:lineRule="auto"/>
              <w:rPr>
                <w:rFonts w:ascii="宋体" w:hAnsi="宋体" w:cs="宋体"/>
                <w:color w:val="auto"/>
                <w:highlight w:val="none"/>
              </w:rPr>
            </w:pPr>
            <w:r>
              <w:rPr>
                <w:rFonts w:hint="eastAsia" w:ascii="宋体" w:hAnsi="宋体" w:cs="宋体"/>
                <w:color w:val="auto"/>
                <w:highlight w:val="none"/>
              </w:rPr>
              <w:t xml:space="preserve">（6分）</w:t>
            </w:r>
            <w:r/>
          </w:p>
        </w:tc>
        <w:tc>
          <w:tcPr>
            <w:tcW w:w="8060" w:type="dxa"/>
            <w:vAlign w:val="center"/>
            <w:textDirection w:val="lrTb"/>
            <w:noWrap w:val="false"/>
          </w:tcPr>
          <w:p>
            <w:pPr>
              <w:pStyle w:val="813"/>
              <w:ind w:left="0" w:firstLine="0"/>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根据投标人提供的检测数据质量目标是否明确，自查数据质量保证措施是否切实可行、责任明确，数据质量承诺是否符合项目要求，对内容的全面性、针对性进行综合评价。</w:t>
            </w:r>
            <w:r/>
          </w:p>
          <w:p>
            <w:pPr>
              <w:pStyle w:val="813"/>
              <w:ind w:left="0" w:firstLine="0"/>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1、内容完整、全面具体详实、针对性强得6分；</w:t>
            </w:r>
            <w:r/>
          </w:p>
          <w:p>
            <w:pPr>
              <w:pStyle w:val="813"/>
              <w:ind w:left="0" w:firstLine="0"/>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2、内容基本完整、针对性较强的得4分；</w:t>
            </w:r>
            <w:r/>
          </w:p>
          <w:p>
            <w:pPr>
              <w:pStyle w:val="813"/>
              <w:ind w:left="0" w:firstLine="0"/>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3、内容一般、基本可行的得2分；</w:t>
            </w:r>
            <w:r/>
          </w:p>
          <w:p>
            <w:pPr>
              <w:pStyle w:val="813"/>
              <w:ind w:left="0" w:firstLine="0"/>
              <w:rPr>
                <w:rFonts w:ascii="宋体" w:hAnsi="宋体" w:eastAsia="宋体" w:cs="宋体"/>
                <w:color w:val="auto"/>
                <w:sz w:val="21"/>
                <w:szCs w:val="24"/>
                <w:highlight w:val="none"/>
              </w:rPr>
            </w:pPr>
            <w:r>
              <w:rPr>
                <w:rFonts w:hint="eastAsia" w:ascii="宋体" w:hAnsi="宋体" w:eastAsia="宋体" w:cs="宋体"/>
                <w:color w:val="auto"/>
                <w:sz w:val="21"/>
                <w:szCs w:val="24"/>
                <w:highlight w:val="none"/>
              </w:rPr>
              <w:t xml:space="preserve">4、内容不全面有缺陷的得1分；</w:t>
            </w:r>
            <w:r/>
          </w:p>
          <w:p>
            <w:pPr>
              <w:pStyle w:val="813"/>
              <w:ind w:left="0" w:firstLine="0"/>
              <w:rPr>
                <w:rFonts w:ascii="宋体" w:hAnsi="宋体" w:eastAsia="宋体" w:cs="宋体"/>
                <w:b/>
                <w:bCs/>
                <w:color w:val="auto"/>
                <w:sz w:val="21"/>
                <w:szCs w:val="21"/>
                <w:highlight w:val="none"/>
                <w:lang w:bidi="hi-IN"/>
              </w:rPr>
            </w:pPr>
            <w:r>
              <w:rPr>
                <w:rFonts w:hint="eastAsia" w:ascii="宋体" w:hAnsi="宋体" w:eastAsia="宋体" w:cs="宋体"/>
                <w:color w:val="auto"/>
                <w:sz w:val="21"/>
                <w:szCs w:val="24"/>
                <w:highlight w:val="none"/>
                <w:lang w:val="en-US" w:eastAsia="zh-CN"/>
              </w:rPr>
              <w:t xml:space="preserve">本项最高得6分，</w:t>
            </w:r>
            <w:r>
              <w:rPr>
                <w:rFonts w:hint="eastAsia" w:ascii="宋体" w:hAnsi="宋体" w:eastAsia="宋体" w:cs="宋体"/>
                <w:color w:val="auto"/>
                <w:sz w:val="21"/>
                <w:szCs w:val="24"/>
                <w:highlight w:val="none"/>
                <w:lang w:eastAsia="zh-CN"/>
              </w:rPr>
              <w:t xml:space="preserve">未提供</w:t>
            </w:r>
            <w:r>
              <w:rPr>
                <w:rFonts w:hint="eastAsia" w:ascii="宋体" w:hAnsi="宋体" w:eastAsia="宋体" w:cs="宋体"/>
                <w:color w:val="auto"/>
                <w:sz w:val="21"/>
                <w:szCs w:val="24"/>
                <w:highlight w:val="none"/>
                <w:lang w:val="en-US" w:eastAsia="zh-CN"/>
              </w:rPr>
              <w:t xml:space="preserve">得0分。</w:t>
            </w:r>
            <w:bookmarkStart w:id="10" w:name="_GoBack"/>
            <w:r/>
            <w:bookmarkEnd w:id="10"/>
            <w:r/>
            <w:r/>
          </w:p>
        </w:tc>
      </w:tr>
      <w:tr>
        <w:trPr>
          <w:cantSplit/>
          <w:jc w:val="center"/>
          <w:trHeight w:val="90"/>
        </w:trPr>
        <w:tc>
          <w:tcPr>
            <w:tcW w:w="1159" w:type="dxa"/>
            <w:vMerge w:val="continue"/>
            <w:textDirection w:val="lrTb"/>
            <w:noWrap w:val="false"/>
          </w:tcPr>
          <w:p>
            <w:pPr>
              <w:pStyle w:val="883"/>
              <w:rPr>
                <w:rFonts w:ascii="宋体" w:hAnsi="宋体" w:cs="宋体"/>
                <w:color w:val="auto"/>
                <w:sz w:val="21"/>
                <w:szCs w:val="21"/>
                <w:highlight w:val="none"/>
              </w:rPr>
            </w:pPr>
            <w:r>
              <w:rPr>
                <w:rFonts w:ascii="宋体" w:hAnsi="宋体" w:cs="宋体"/>
                <w:color w:val="auto"/>
                <w:sz w:val="21"/>
                <w:szCs w:val="21"/>
                <w:highlight w:val="none"/>
              </w:rPr>
            </w:r>
            <w:r/>
          </w:p>
        </w:tc>
        <w:tc>
          <w:tcPr>
            <w:tcBorders>
              <w:bottom w:val="single" w:color="auto" w:sz="4" w:space="0"/>
            </w:tcBorders>
            <w:tcW w:w="1368" w:type="dxa"/>
            <w:vAlign w:val="center"/>
            <w:textDirection w:val="lrTb"/>
            <w:noWrap w:val="false"/>
          </w:tcPr>
          <w:p>
            <w:pPr>
              <w:jc w:val="center"/>
              <w:spacing w:line="264" w:lineRule="auto"/>
              <w:rPr>
                <w:rFonts w:ascii="宋体" w:hAnsi="宋体" w:cs="宋体"/>
                <w:color w:val="auto"/>
                <w:highlight w:val="none"/>
              </w:rPr>
            </w:pPr>
            <w:r>
              <w:rPr>
                <w:rFonts w:hint="eastAsia" w:ascii="宋体" w:hAnsi="宋体" w:cs="宋体"/>
                <w:color w:val="auto"/>
                <w:highlight w:val="none"/>
              </w:rPr>
              <w:t xml:space="preserve">应急处理方案</w:t>
            </w:r>
            <w:r/>
          </w:p>
          <w:p>
            <w:pPr>
              <w:jc w:val="center"/>
              <w:spacing w:line="264" w:lineRule="auto"/>
              <w:rPr>
                <w:rFonts w:ascii="宋体" w:hAnsi="宋体" w:cs="宋体"/>
                <w:color w:val="auto"/>
                <w:highlight w:val="none"/>
              </w:rPr>
            </w:pPr>
            <w:r>
              <w:rPr>
                <w:rFonts w:hint="eastAsia" w:ascii="宋体" w:hAnsi="宋体" w:cs="宋体"/>
                <w:color w:val="auto"/>
                <w:highlight w:val="none"/>
              </w:rPr>
              <w:t xml:space="preserve">（1</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分）</w:t>
            </w:r>
            <w:r/>
          </w:p>
        </w:tc>
        <w:tc>
          <w:tcPr>
            <w:tcBorders>
              <w:bottom w:val="single" w:color="auto" w:sz="4" w:space="0"/>
            </w:tcBorders>
            <w:tcW w:w="8060" w:type="dxa"/>
            <w:vAlign w:val="center"/>
            <w:textDirection w:val="lrTb"/>
            <w:noWrap w:val="false"/>
          </w:tcPr>
          <w:p>
            <w:pPr>
              <w:spacing w:line="264" w:lineRule="auto"/>
              <w:rPr>
                <w:rFonts w:ascii="宋体" w:hAnsi="宋体" w:cs="宋体"/>
                <w:color w:val="auto"/>
                <w:highlight w:val="none"/>
              </w:rPr>
            </w:pPr>
            <w:r>
              <w:rPr>
                <w:rFonts w:hint="eastAsia" w:ascii="宋体" w:hAnsi="宋体" w:cs="宋体"/>
                <w:color w:val="auto"/>
                <w:highlight w:val="none"/>
              </w:rPr>
              <w:t xml:space="preserve">根据投标人对应急处理方案、数据质量如何保障，工作进度、响应速度（突发事件发生后几小时到场处理）等处置预案进行综合评价。</w:t>
            </w:r>
            <w:r/>
          </w:p>
          <w:p>
            <w:pPr>
              <w:pStyle w:val="883"/>
              <w:rPr>
                <w:rFonts w:ascii="宋体" w:hAnsi="宋体" w:cs="宋体"/>
                <w:color w:val="auto"/>
                <w:sz w:val="21"/>
                <w:szCs w:val="21"/>
                <w:highlight w:val="none"/>
              </w:rPr>
            </w:pPr>
            <w:r>
              <w:rPr>
                <w:rFonts w:hint="eastAsia" w:ascii="宋体" w:hAnsi="宋体" w:cs="宋体"/>
                <w:color w:val="auto"/>
                <w:sz w:val="21"/>
                <w:szCs w:val="21"/>
                <w:highlight w:val="none"/>
              </w:rPr>
              <w:t xml:space="preserve">1、处置预案内容完整、全面具体详实、针对性强，预案切合实际，操作性强，得1</w:t>
            </w:r>
            <w:r>
              <w:rPr>
                <w:rFonts w:hint="eastAsia" w:ascii="宋体" w:hAnsi="宋体" w:cs="宋体"/>
                <w:color w:val="auto"/>
                <w:sz w:val="21"/>
                <w:szCs w:val="21"/>
                <w:highlight w:val="none"/>
                <w:lang w:val="en-US" w:eastAsia="zh-CN"/>
              </w:rPr>
              <w:t xml:space="preserve">0</w:t>
            </w:r>
            <w:r>
              <w:rPr>
                <w:rFonts w:hint="eastAsia" w:ascii="宋体" w:hAnsi="宋体" w:cs="宋体"/>
                <w:color w:val="auto"/>
                <w:sz w:val="21"/>
                <w:szCs w:val="21"/>
                <w:highlight w:val="none"/>
              </w:rPr>
              <w:t xml:space="preserve">分；</w:t>
            </w:r>
            <w:r/>
          </w:p>
          <w:p>
            <w:pPr>
              <w:pStyle w:val="883"/>
              <w:rPr>
                <w:rFonts w:ascii="宋体" w:hAnsi="宋体" w:cs="宋体"/>
                <w:color w:val="auto"/>
                <w:sz w:val="21"/>
                <w:szCs w:val="21"/>
                <w:highlight w:val="none"/>
              </w:rPr>
            </w:pPr>
            <w:r>
              <w:rPr>
                <w:rFonts w:hint="eastAsia" w:ascii="宋体" w:hAnsi="宋体" w:cs="宋体"/>
                <w:color w:val="auto"/>
                <w:sz w:val="21"/>
                <w:szCs w:val="21"/>
                <w:highlight w:val="none"/>
              </w:rPr>
              <w:t xml:space="preserve">2、处置预案内容较完整、较全面具体详实、</w:t>
            </w:r>
            <w:r>
              <w:rPr>
                <w:rFonts w:hint="eastAsia"/>
                <w:color w:val="auto"/>
                <w:szCs w:val="21"/>
                <w:highlight w:val="none"/>
              </w:rPr>
              <w:t xml:space="preserve">预案符合项目要求</w:t>
            </w:r>
            <w:r>
              <w:rPr>
                <w:rFonts w:hint="eastAsia" w:ascii="宋体" w:hAnsi="宋体" w:cs="宋体"/>
                <w:color w:val="auto"/>
                <w:sz w:val="21"/>
                <w:szCs w:val="21"/>
                <w:highlight w:val="none"/>
              </w:rPr>
              <w:t xml:space="preserve">，有较强操作性，得</w:t>
            </w:r>
            <w:r>
              <w:rPr>
                <w:rFonts w:hint="eastAsia" w:ascii="宋体" w:hAnsi="宋体" w:cs="宋体"/>
                <w:color w:val="auto"/>
                <w:sz w:val="21"/>
                <w:szCs w:val="21"/>
                <w:highlight w:val="none"/>
                <w:lang w:val="en-US" w:eastAsia="zh-CN"/>
              </w:rPr>
              <w:t xml:space="preserve">8</w:t>
            </w:r>
            <w:r>
              <w:rPr>
                <w:rFonts w:hint="eastAsia" w:ascii="宋体" w:hAnsi="宋体" w:cs="宋体"/>
                <w:color w:val="auto"/>
                <w:sz w:val="21"/>
                <w:szCs w:val="21"/>
                <w:highlight w:val="none"/>
              </w:rPr>
              <w:t xml:space="preserve">分；</w:t>
            </w:r>
            <w:r/>
          </w:p>
          <w:p>
            <w:pPr>
              <w:pStyle w:val="883"/>
              <w:rPr>
                <w:rFonts w:ascii="宋体" w:hAnsi="宋体" w:cs="宋体"/>
                <w:color w:val="auto"/>
                <w:sz w:val="21"/>
                <w:szCs w:val="21"/>
                <w:highlight w:val="none"/>
              </w:rPr>
            </w:pPr>
            <w:r>
              <w:rPr>
                <w:rFonts w:hint="eastAsia" w:ascii="宋体" w:hAnsi="宋体" w:cs="宋体"/>
                <w:color w:val="auto"/>
                <w:sz w:val="21"/>
                <w:szCs w:val="21"/>
                <w:highlight w:val="none"/>
              </w:rPr>
              <w:t xml:space="preserve">3、处置预案基本完整，并可操作，得6分；</w:t>
            </w:r>
            <w:r/>
          </w:p>
          <w:p>
            <w:pPr>
              <w:pStyle w:val="883"/>
              <w:rPr>
                <w:rFonts w:ascii="宋体" w:hAnsi="宋体" w:cs="宋体"/>
                <w:color w:val="auto"/>
                <w:sz w:val="21"/>
                <w:szCs w:val="21"/>
                <w:highlight w:val="none"/>
              </w:rPr>
            </w:pPr>
            <w:r>
              <w:rPr>
                <w:rFonts w:hint="eastAsia" w:ascii="宋体" w:hAnsi="宋体" w:cs="宋体"/>
                <w:color w:val="auto"/>
                <w:sz w:val="21"/>
                <w:szCs w:val="21"/>
                <w:highlight w:val="none"/>
              </w:rPr>
              <w:t xml:space="preserve">4、处置预案内容</w:t>
            </w:r>
            <w:r>
              <w:rPr>
                <w:rFonts w:hint="eastAsia" w:ascii="宋体" w:hAnsi="宋体" w:cs="宋体"/>
                <w:color w:val="auto"/>
                <w:szCs w:val="21"/>
                <w:highlight w:val="none"/>
              </w:rPr>
              <w:t xml:space="preserve">一般，可</w:t>
            </w:r>
            <w:r>
              <w:rPr>
                <w:rFonts w:hint="eastAsia" w:ascii="宋体" w:hAnsi="宋体" w:cs="宋体"/>
                <w:color w:val="auto"/>
                <w:sz w:val="21"/>
                <w:szCs w:val="21"/>
                <w:highlight w:val="none"/>
              </w:rPr>
              <w:t xml:space="preserve">操作性不强，得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pStyle w:val="883"/>
              <w:rPr>
                <w:rFonts w:ascii="宋体" w:hAnsi="宋体" w:cs="宋体"/>
                <w:b/>
                <w:bCs/>
                <w:color w:val="auto"/>
                <w:sz w:val="21"/>
                <w:szCs w:val="21"/>
                <w:highlight w:val="none"/>
                <w:lang w:bidi="hi-IN"/>
              </w:rPr>
            </w:pPr>
            <w:r>
              <w:rPr>
                <w:rFonts w:hint="eastAsia" w:ascii="宋体" w:hAnsi="宋体" w:cs="宋体"/>
                <w:color w:val="auto"/>
                <w:sz w:val="21"/>
                <w:szCs w:val="21"/>
                <w:highlight w:val="none"/>
                <w:lang w:val="en-US" w:eastAsia="zh-CN"/>
              </w:rPr>
              <w:t xml:space="preserve">本项最高得10分，</w:t>
            </w:r>
            <w:r>
              <w:rPr>
                <w:rFonts w:hint="eastAsia" w:ascii="宋体" w:hAnsi="宋体" w:cs="宋体"/>
                <w:color w:val="auto"/>
                <w:sz w:val="21"/>
                <w:szCs w:val="21"/>
                <w:highlight w:val="none"/>
                <w:lang w:eastAsia="zh-CN"/>
              </w:rPr>
              <w:t xml:space="preserve">未提供</w:t>
            </w:r>
            <w:r>
              <w:rPr>
                <w:rFonts w:hint="eastAsia" w:ascii="宋体" w:hAnsi="宋体" w:cs="宋体"/>
                <w:color w:val="auto"/>
                <w:sz w:val="21"/>
                <w:szCs w:val="21"/>
                <w:highlight w:val="none"/>
                <w:lang w:val="en-US" w:eastAsia="zh-CN"/>
              </w:rPr>
              <w:t xml:space="preserve">得0分。</w:t>
            </w:r>
            <w:r/>
          </w:p>
        </w:tc>
      </w:tr>
      <w:tr>
        <w:trPr>
          <w:cantSplit/>
          <w:jc w:val="center"/>
          <w:trHeight w:val="90"/>
        </w:trPr>
        <w:tc>
          <w:tcPr>
            <w:tcW w:w="1159" w:type="dxa"/>
            <w:vMerge w:val="continue"/>
            <w:textDirection w:val="lrTb"/>
            <w:noWrap w:val="false"/>
          </w:tcPr>
          <w:p>
            <w:pPr>
              <w:pStyle w:val="883"/>
              <w:rPr>
                <w:rFonts w:ascii="宋体" w:hAnsi="宋体" w:cs="宋体"/>
                <w:color w:val="auto"/>
                <w:sz w:val="21"/>
                <w:szCs w:val="21"/>
                <w:highlight w:val="none"/>
              </w:rPr>
            </w:pPr>
            <w:r>
              <w:rPr>
                <w:rFonts w:ascii="宋体" w:hAnsi="宋体" w:cs="宋体"/>
                <w:color w:val="auto"/>
                <w:sz w:val="21"/>
                <w:szCs w:val="21"/>
                <w:highlight w:val="none"/>
              </w:rPr>
            </w:r>
            <w:r/>
          </w:p>
        </w:tc>
        <w:tc>
          <w:tcPr>
            <w:tcBorders>
              <w:top w:val="single" w:color="auto" w:sz="4" w:space="0"/>
            </w:tcBorders>
            <w:tcW w:w="1368" w:type="dxa"/>
            <w:vAlign w:val="center"/>
            <w:textDirection w:val="lrTb"/>
            <w:noWrap w:val="false"/>
          </w:tcPr>
          <w:p>
            <w:pPr>
              <w:jc w:val="center"/>
              <w:spacing w:line="264" w:lineRule="auto"/>
              <w:rPr>
                <w:rFonts w:ascii="宋体" w:hAnsi="宋体" w:cs="宋体"/>
                <w:color w:val="auto"/>
                <w:highlight w:val="none"/>
              </w:rPr>
            </w:pPr>
            <w:r>
              <w:rPr>
                <w:rFonts w:hint="eastAsia" w:ascii="宋体" w:hAnsi="宋体" w:cs="宋体"/>
                <w:color w:val="auto"/>
                <w:highlight w:val="none"/>
              </w:rPr>
              <w:t xml:space="preserve">数据安全保密措施</w:t>
            </w:r>
            <w:r/>
          </w:p>
          <w:p>
            <w:pPr>
              <w:jc w:val="center"/>
              <w:spacing w:line="264"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7</w:t>
            </w:r>
            <w:r>
              <w:rPr>
                <w:rFonts w:hint="eastAsia" w:ascii="宋体" w:hAnsi="宋体" w:cs="宋体"/>
                <w:color w:val="auto"/>
                <w:highlight w:val="none"/>
              </w:rPr>
              <w:t xml:space="preserve">分）</w:t>
            </w:r>
            <w:r/>
          </w:p>
        </w:tc>
        <w:tc>
          <w:tcPr>
            <w:tcBorders>
              <w:top w:val="single" w:color="auto" w:sz="4" w:space="0"/>
            </w:tcBorders>
            <w:tcW w:w="8060" w:type="dxa"/>
            <w:vAlign w:val="center"/>
            <w:textDirection w:val="lrTb"/>
            <w:noWrap w:val="false"/>
          </w:tcPr>
          <w:p>
            <w:pPr>
              <w:pStyle w:val="883"/>
              <w:rPr>
                <w:rFonts w:ascii="宋体" w:hAnsi="宋体" w:cs="宋体"/>
                <w:color w:val="auto"/>
                <w:sz w:val="21"/>
                <w:szCs w:val="21"/>
                <w:highlight w:val="none"/>
              </w:rPr>
            </w:pPr>
            <w:r>
              <w:rPr>
                <w:rFonts w:hint="eastAsia" w:ascii="宋体" w:hAnsi="宋体" w:cs="宋体"/>
                <w:color w:val="auto"/>
                <w:sz w:val="21"/>
                <w:szCs w:val="21"/>
                <w:highlight w:val="none"/>
              </w:rPr>
              <w:t xml:space="preserve">根据投标人制定的安全责任制度、数据生产安全控制措施、数据资料保密制度科学合理性、针对性进行综合评价。</w:t>
            </w:r>
            <w:r/>
          </w:p>
          <w:p>
            <w:pPr>
              <w:pStyle w:val="883"/>
              <w:rPr>
                <w:rFonts w:ascii="宋体" w:hAnsi="宋体" w:cs="宋体"/>
                <w:color w:val="auto"/>
                <w:sz w:val="21"/>
                <w:szCs w:val="21"/>
                <w:highlight w:val="none"/>
              </w:rPr>
            </w:pPr>
            <w:r>
              <w:rPr>
                <w:rFonts w:hint="eastAsia" w:ascii="宋体" w:hAnsi="宋体" w:cs="宋体"/>
                <w:color w:val="auto"/>
                <w:sz w:val="21"/>
                <w:szCs w:val="21"/>
                <w:highlight w:val="none"/>
              </w:rPr>
              <w:t xml:space="preserve">1、内容完整、全面具体详实、针对性强得</w:t>
            </w:r>
            <w:r>
              <w:rPr>
                <w:rFonts w:hint="eastAsia" w:ascii="宋体" w:hAnsi="宋体" w:cs="宋体"/>
                <w:color w:val="auto"/>
                <w:sz w:val="21"/>
                <w:szCs w:val="21"/>
                <w:highlight w:val="none"/>
                <w:lang w:val="en-US" w:eastAsia="zh-CN"/>
              </w:rPr>
              <w:t xml:space="preserve">7</w:t>
            </w:r>
            <w:r>
              <w:rPr>
                <w:rFonts w:hint="eastAsia" w:ascii="宋体" w:hAnsi="宋体" w:cs="宋体"/>
                <w:color w:val="auto"/>
                <w:sz w:val="21"/>
                <w:szCs w:val="21"/>
                <w:highlight w:val="none"/>
              </w:rPr>
              <w:t xml:space="preserve">分；</w:t>
            </w:r>
            <w:r/>
          </w:p>
          <w:p>
            <w:pPr>
              <w:pStyle w:val="883"/>
              <w:rPr>
                <w:rFonts w:ascii="宋体" w:hAnsi="宋体" w:cs="宋体"/>
                <w:color w:val="auto"/>
                <w:sz w:val="21"/>
                <w:szCs w:val="21"/>
                <w:highlight w:val="none"/>
              </w:rPr>
            </w:pPr>
            <w:r>
              <w:rPr>
                <w:rFonts w:hint="eastAsia" w:ascii="宋体" w:hAnsi="宋体" w:cs="宋体"/>
                <w:color w:val="auto"/>
                <w:sz w:val="21"/>
                <w:szCs w:val="21"/>
                <w:highlight w:val="none"/>
              </w:rPr>
              <w:t xml:space="preserve">2、内容基本完整、针对性较强的得</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w:t>
            </w:r>
            <w:r/>
          </w:p>
          <w:p>
            <w:pPr>
              <w:pStyle w:val="883"/>
              <w:rPr>
                <w:rFonts w:ascii="宋体" w:hAnsi="宋体" w:cs="宋体"/>
                <w:color w:val="auto"/>
                <w:sz w:val="21"/>
                <w:szCs w:val="21"/>
                <w:highlight w:val="none"/>
              </w:rPr>
            </w:pPr>
            <w:r>
              <w:rPr>
                <w:rFonts w:hint="eastAsia" w:ascii="宋体" w:hAnsi="宋体" w:cs="宋体"/>
                <w:color w:val="auto"/>
                <w:sz w:val="21"/>
                <w:szCs w:val="21"/>
                <w:highlight w:val="none"/>
              </w:rPr>
              <w:t xml:space="preserve">3、内容一般、基本可行的得</w:t>
            </w:r>
            <w:r>
              <w:rPr>
                <w:rFonts w:hint="eastAsia" w:ascii="宋体" w:hAnsi="宋体" w:cs="宋体"/>
                <w:color w:val="auto"/>
                <w:sz w:val="21"/>
                <w:szCs w:val="21"/>
                <w:highlight w:val="none"/>
                <w:lang w:val="en-US" w:eastAsia="zh-CN"/>
              </w:rPr>
              <w:t xml:space="preserve">3</w:t>
            </w:r>
            <w:r>
              <w:rPr>
                <w:rFonts w:hint="eastAsia" w:ascii="宋体" w:hAnsi="宋体" w:cs="宋体"/>
                <w:color w:val="auto"/>
                <w:sz w:val="21"/>
                <w:szCs w:val="21"/>
                <w:highlight w:val="none"/>
              </w:rPr>
              <w:t xml:space="preserve">分；</w:t>
            </w:r>
            <w:r/>
          </w:p>
          <w:p>
            <w:pPr>
              <w:pStyle w:val="883"/>
              <w:rPr>
                <w:rFonts w:ascii="宋体" w:hAnsi="宋体" w:cs="宋体"/>
                <w:color w:val="auto"/>
                <w:sz w:val="21"/>
                <w:szCs w:val="21"/>
                <w:highlight w:val="none"/>
              </w:rPr>
            </w:pPr>
            <w:r>
              <w:rPr>
                <w:rFonts w:hint="eastAsia" w:ascii="宋体" w:hAnsi="宋体" w:cs="宋体"/>
                <w:color w:val="auto"/>
                <w:sz w:val="21"/>
                <w:szCs w:val="21"/>
                <w:highlight w:val="none"/>
              </w:rPr>
              <w:t xml:space="preserve">4、内容不全面有缺陷的得1分；</w:t>
            </w:r>
            <w:r/>
          </w:p>
          <w:p>
            <w:pPr>
              <w:pStyle w:val="883"/>
              <w:rPr>
                <w:rFonts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本项最高得6分，</w:t>
            </w:r>
            <w:r>
              <w:rPr>
                <w:rFonts w:hint="eastAsia" w:ascii="宋体" w:hAnsi="宋体" w:cs="宋体"/>
                <w:color w:val="auto"/>
                <w:sz w:val="21"/>
                <w:szCs w:val="21"/>
                <w:highlight w:val="none"/>
                <w:lang w:eastAsia="zh-CN"/>
              </w:rPr>
              <w:t xml:space="preserve">未提供</w:t>
            </w:r>
            <w:r>
              <w:rPr>
                <w:rFonts w:hint="eastAsia" w:ascii="宋体" w:hAnsi="宋体" w:cs="宋体"/>
                <w:color w:val="auto"/>
                <w:sz w:val="21"/>
                <w:szCs w:val="21"/>
                <w:highlight w:val="none"/>
                <w:lang w:val="en-US" w:eastAsia="zh-CN"/>
              </w:rPr>
              <w:t xml:space="preserve">得0分。</w:t>
            </w:r>
            <w:r/>
          </w:p>
        </w:tc>
      </w:tr>
      <w:tr>
        <w:trPr>
          <w:cantSplit/>
          <w:jc w:val="center"/>
          <w:trHeight w:val="2121"/>
        </w:trPr>
        <w:tc>
          <w:tcPr>
            <w:tcW w:w="1159" w:type="dxa"/>
            <w:vMerge w:val="continue"/>
            <w:textDirection w:val="lrTb"/>
            <w:noWrap w:val="false"/>
          </w:tcPr>
          <w:p>
            <w:pPr>
              <w:pStyle w:val="883"/>
              <w:rPr>
                <w:rFonts w:ascii="宋体" w:hAnsi="宋体" w:cs="宋体"/>
                <w:color w:val="auto"/>
                <w:sz w:val="21"/>
                <w:szCs w:val="21"/>
                <w:highlight w:val="none"/>
              </w:rPr>
            </w:pPr>
            <w:r>
              <w:rPr>
                <w:rFonts w:ascii="宋体" w:hAnsi="宋体" w:cs="宋体"/>
                <w:color w:val="auto"/>
                <w:sz w:val="21"/>
                <w:szCs w:val="21"/>
                <w:highlight w:val="none"/>
              </w:rPr>
            </w:r>
            <w:r/>
          </w:p>
        </w:tc>
        <w:tc>
          <w:tcPr>
            <w:tcW w:w="1368" w:type="dxa"/>
            <w:vAlign w:val="center"/>
            <w:textDirection w:val="lrTb"/>
            <w:noWrap w:val="false"/>
          </w:tcPr>
          <w:p>
            <w:pPr>
              <w:jc w:val="center"/>
              <w:spacing w:line="264" w:lineRule="auto"/>
              <w:rPr>
                <w:rFonts w:hint="eastAsia" w:ascii="宋体" w:hAnsi="宋体" w:cs="宋体"/>
                <w:color w:val="auto"/>
                <w:sz w:val="21"/>
                <w:szCs w:val="21"/>
                <w:highlight w:val="none"/>
                <w:lang w:bidi="ar"/>
              </w:rPr>
            </w:pPr>
            <w:r>
              <w:rPr>
                <w:rFonts w:hint="eastAsia" w:ascii="宋体" w:hAnsi="宋体" w:cs="宋体"/>
                <w:color w:val="auto"/>
                <w:sz w:val="21"/>
                <w:szCs w:val="21"/>
                <w:highlight w:val="none"/>
                <w:lang w:bidi="ar"/>
              </w:rPr>
              <w:t xml:space="preserve">检测能力评分</w:t>
            </w:r>
            <w:r/>
          </w:p>
          <w:p>
            <w:pPr>
              <w:jc w:val="center"/>
              <w:spacing w:line="264" w:lineRule="auto"/>
              <w:rPr>
                <w:rFonts w:ascii="宋体" w:hAnsi="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25</w:t>
            </w:r>
            <w:r>
              <w:rPr>
                <w:rFonts w:hint="eastAsia" w:ascii="宋体" w:hAnsi="宋体" w:cs="宋体"/>
                <w:color w:val="auto"/>
                <w:highlight w:val="none"/>
              </w:rPr>
              <w:t xml:space="preserve">分）</w:t>
            </w:r>
            <w:r/>
          </w:p>
        </w:tc>
        <w:tc>
          <w:tcPr>
            <w:tcW w:w="8060" w:type="dxa"/>
            <w:vAlign w:val="center"/>
            <w:textDirection w:val="lrTb"/>
            <w:noWrap w:val="false"/>
          </w:tcPr>
          <w:p>
            <w:pPr>
              <w:pStyle w:val="883"/>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具备所投</w:t>
            </w: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highlight w:val="none"/>
              </w:rPr>
              <w:t xml:space="preserve">产品全部检测能力的得2</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分，每缺少一个产品检测能力扣</w:t>
            </w:r>
            <w:r>
              <w:rPr>
                <w:rFonts w:hint="eastAsia" w:ascii="宋体" w:hAnsi="宋体" w:cs="宋体"/>
                <w:color w:val="auto"/>
                <w:sz w:val="21"/>
                <w:szCs w:val="21"/>
                <w:highlight w:val="none"/>
                <w:lang w:val="en-US" w:eastAsia="zh-CN"/>
              </w:rPr>
              <w:t xml:space="preserve">5</w:t>
            </w:r>
            <w:r>
              <w:rPr>
                <w:rFonts w:hint="eastAsia" w:ascii="宋体" w:hAnsi="宋体" w:cs="宋体"/>
                <w:color w:val="auto"/>
                <w:sz w:val="21"/>
                <w:szCs w:val="21"/>
                <w:highlight w:val="none"/>
              </w:rPr>
              <w:t xml:space="preserve">分，扣完为止。</w:t>
            </w:r>
            <w:r/>
          </w:p>
          <w:p>
            <w:pPr>
              <w:pStyle w:val="883"/>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注：缺少所投</w:t>
            </w: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highlight w:val="none"/>
              </w:rPr>
              <w:t xml:space="preserve">产品检测能力须提供承诺书，须承诺在合同签订前取得所投</w:t>
            </w: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highlight w:val="none"/>
              </w:rPr>
              <w:t xml:space="preserve">所有产品CMA资质。如若在合同签订前未能及时取得所投</w:t>
            </w:r>
            <w:r>
              <w:rPr>
                <w:rFonts w:hint="eastAsia" w:ascii="宋体" w:hAnsi="宋体" w:cs="宋体"/>
                <w:color w:val="auto"/>
                <w:sz w:val="21"/>
                <w:szCs w:val="21"/>
                <w:highlight w:val="none"/>
                <w:lang w:val="en-US" w:eastAsia="zh-CN"/>
              </w:rPr>
              <w:t xml:space="preserve">项目</w:t>
            </w:r>
            <w:r>
              <w:rPr>
                <w:rFonts w:hint="eastAsia" w:ascii="宋体" w:hAnsi="宋体" w:cs="宋体"/>
                <w:color w:val="auto"/>
                <w:sz w:val="21"/>
                <w:szCs w:val="21"/>
                <w:highlight w:val="none"/>
              </w:rPr>
              <w:t xml:space="preserve">所有产品CMA资质不得签订合同，</w:t>
            </w:r>
            <w:r>
              <w:rPr>
                <w:rFonts w:hint="eastAsia" w:ascii="宋体" w:hAnsi="宋体" w:cs="宋体"/>
                <w:color w:val="auto"/>
                <w:sz w:val="21"/>
                <w:szCs w:val="21"/>
                <w:highlight w:val="none"/>
                <w:lang w:val="en-US" w:eastAsia="zh-CN"/>
              </w:rPr>
              <w:t xml:space="preserve">采购人有权</w:t>
            </w:r>
            <w:r>
              <w:rPr>
                <w:rFonts w:hint="eastAsia" w:ascii="宋体" w:hAnsi="宋体" w:cs="宋体"/>
                <w:color w:val="auto"/>
                <w:sz w:val="21"/>
                <w:szCs w:val="21"/>
                <w:highlight w:val="none"/>
              </w:rPr>
              <w:t xml:space="preserve">取消中标资格。</w:t>
            </w:r>
            <w:r/>
          </w:p>
          <w:p>
            <w:pPr>
              <w:pStyle w:val="883"/>
              <w:rPr>
                <w:rFonts w:ascii="宋体" w:hAnsi="宋体"/>
                <w:color w:val="auto"/>
                <w:sz w:val="24"/>
                <w:szCs w:val="24"/>
                <w:highlight w:val="none"/>
              </w:rPr>
            </w:pPr>
            <w:r>
              <w:rPr>
                <w:rFonts w:hint="eastAsia" w:ascii="宋体" w:hAnsi="宋体" w:cs="宋体"/>
                <w:color w:val="auto"/>
                <w:sz w:val="21"/>
                <w:szCs w:val="21"/>
                <w:highlight w:val="none"/>
              </w:rPr>
              <w:t xml:space="preserve">根据响应文件中提供有效的资质认定证书（CMA）及本次采购相关产品附表</w:t>
            </w:r>
            <w:r>
              <w:rPr>
                <w:rFonts w:hint="eastAsia" w:ascii="宋体" w:hAnsi="宋体" w:cs="宋体"/>
                <w:color w:val="auto"/>
                <w:sz w:val="21"/>
                <w:szCs w:val="21"/>
                <w:highlight w:val="none"/>
                <w:lang w:val="en-US" w:eastAsia="zh-CN"/>
              </w:rPr>
              <w:t xml:space="preserve">扫描件</w:t>
            </w:r>
            <w:r>
              <w:rPr>
                <w:rFonts w:hint="eastAsia" w:ascii="宋体" w:hAnsi="宋体" w:cs="宋体"/>
                <w:color w:val="auto"/>
                <w:sz w:val="21"/>
                <w:szCs w:val="21"/>
                <w:highlight w:val="none"/>
              </w:rPr>
              <w:t xml:space="preserve">。</w:t>
            </w:r>
            <w:r/>
          </w:p>
        </w:tc>
      </w:tr>
      <w:tr>
        <w:trPr>
          <w:cantSplit/>
          <w:jc w:val="center"/>
          <w:trHeight w:val="2442"/>
        </w:trPr>
        <w:tc>
          <w:tcPr>
            <w:tcW w:w="1159" w:type="dxa"/>
            <w:vMerge w:val="continue"/>
            <w:textDirection w:val="lrTb"/>
            <w:noWrap w:val="false"/>
          </w:tcPr>
          <w:p>
            <w:pPr>
              <w:pStyle w:val="883"/>
              <w:rPr>
                <w:rFonts w:ascii="宋体" w:hAnsi="宋体" w:cs="宋体"/>
                <w:color w:val="auto"/>
                <w:sz w:val="21"/>
                <w:szCs w:val="21"/>
                <w:highlight w:val="none"/>
              </w:rPr>
            </w:pPr>
            <w:r>
              <w:rPr>
                <w:rFonts w:ascii="宋体" w:hAnsi="宋体" w:cs="宋体"/>
                <w:color w:val="auto"/>
                <w:sz w:val="21"/>
                <w:szCs w:val="21"/>
                <w:highlight w:val="none"/>
              </w:rPr>
            </w:r>
            <w:r/>
          </w:p>
        </w:tc>
        <w:tc>
          <w:tcPr>
            <w:tcW w:w="1368" w:type="dxa"/>
            <w:vAlign w:val="center"/>
            <w:textDirection w:val="lrTb"/>
            <w:noWrap w:val="false"/>
          </w:tcPr>
          <w:p>
            <w:pPr>
              <w:jc w:val="center"/>
              <w:spacing w:line="264" w:lineRule="auto"/>
              <w:rPr>
                <w:rFonts w:hint="eastAsia" w:ascii="宋体" w:hAnsi="宋体" w:cs="宋体"/>
                <w:color w:val="auto"/>
                <w:highlight w:val="none"/>
              </w:rPr>
            </w:pPr>
            <w:r>
              <w:rPr>
                <w:rFonts w:hint="eastAsia" w:ascii="宋体" w:hAnsi="宋体" w:cs="宋体"/>
                <w:color w:val="auto"/>
                <w:highlight w:val="none"/>
              </w:rPr>
              <w:t xml:space="preserve">实验</w:t>
            </w:r>
            <w:r>
              <w:rPr>
                <w:rFonts w:hint="eastAsia" w:ascii="宋体" w:hAnsi="宋体" w:cs="宋体"/>
                <w:color w:val="auto"/>
                <w:highlight w:val="none"/>
                <w:lang w:val="en-US" w:eastAsia="zh-CN"/>
              </w:rPr>
              <w:t xml:space="preserve">条件</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tc>
        <w:tc>
          <w:tcPr>
            <w:tcW w:w="8060" w:type="dxa"/>
            <w:vAlign w:val="center"/>
            <w:textDirection w:val="lrTb"/>
            <w:noWrap w:val="false"/>
          </w:tcPr>
          <w:p>
            <w:pPr>
              <w:pStyle w:val="884"/>
              <w:ind w:left="0" w:right="0" w:firstLine="0"/>
              <w:jc w:val="left"/>
              <w:spacing w:line="264"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对各投标供应商的基本情况包括内部架构、检测能力、实验室条件（包括环境控制设施配置情况等）等内容进行</w:t>
            </w:r>
            <w:r>
              <w:rPr>
                <w:rFonts w:hint="eastAsia" w:ascii="宋体" w:hAnsi="宋体" w:eastAsia="宋体" w:cs="宋体"/>
                <w:b w:val="0"/>
                <w:bCs w:val="0"/>
                <w:color w:val="auto"/>
                <w:sz w:val="21"/>
                <w:szCs w:val="21"/>
                <w:highlight w:val="none"/>
                <w:lang w:val="en-US" w:eastAsia="zh-CN"/>
              </w:rPr>
              <w:t xml:space="preserve">综合评价</w:t>
            </w:r>
            <w:r>
              <w:rPr>
                <w:rFonts w:hint="eastAsia" w:ascii="宋体" w:hAnsi="宋体" w:eastAsia="宋体" w:cs="宋体"/>
                <w:b w:val="0"/>
                <w:bCs w:val="0"/>
                <w:color w:val="auto"/>
                <w:sz w:val="21"/>
                <w:szCs w:val="21"/>
                <w:highlight w:val="none"/>
              </w:rPr>
              <w:t xml:space="preserve">。</w:t>
            </w:r>
            <w:r/>
          </w:p>
          <w:p>
            <w:pPr>
              <w:pStyle w:val="884"/>
              <w:ind w:left="0" w:right="0" w:firstLine="0"/>
              <w:jc w:val="left"/>
              <w:spacing w:line="264"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试验场所环境优良、产品检验的环境条件控制充分，能满足产品检验对环境设施的特殊要求，得</w:t>
            </w:r>
            <w:r>
              <w:rPr>
                <w:rFonts w:hint="eastAsia" w:ascii="宋体" w:hAnsi="宋体" w:eastAsia="宋体" w:cs="宋体"/>
                <w:b w:val="0"/>
                <w:bCs w:val="0"/>
                <w:color w:val="auto"/>
                <w:sz w:val="21"/>
                <w:szCs w:val="21"/>
                <w:highlight w:val="none"/>
                <w:lang w:val="en-US" w:eastAsia="zh-CN"/>
              </w:rPr>
              <w:t xml:space="preserve">8</w:t>
            </w:r>
            <w:r>
              <w:rPr>
                <w:rFonts w:hint="eastAsia" w:ascii="宋体" w:hAnsi="宋体" w:eastAsia="宋体" w:cs="宋体"/>
                <w:b w:val="0"/>
                <w:bCs w:val="0"/>
                <w:color w:val="auto"/>
                <w:sz w:val="21"/>
                <w:szCs w:val="21"/>
                <w:highlight w:val="none"/>
              </w:rPr>
              <w:t xml:space="preserve">分。</w:t>
            </w:r>
            <w:r/>
          </w:p>
          <w:p>
            <w:pPr>
              <w:pStyle w:val="884"/>
              <w:ind w:left="0" w:right="0" w:firstLine="0"/>
              <w:jc w:val="left"/>
              <w:spacing w:line="264"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验场所环境</w:t>
            </w:r>
            <w:r>
              <w:rPr>
                <w:rFonts w:hint="eastAsia" w:ascii="宋体" w:hAnsi="宋体" w:eastAsia="宋体" w:cs="宋体"/>
                <w:b w:val="0"/>
                <w:bCs w:val="0"/>
                <w:color w:val="auto"/>
                <w:sz w:val="21"/>
                <w:szCs w:val="21"/>
                <w:highlight w:val="none"/>
                <w:lang w:val="en-US" w:eastAsia="zh-CN"/>
              </w:rPr>
              <w:t xml:space="preserve">较好</w:t>
            </w:r>
            <w:r>
              <w:rPr>
                <w:rFonts w:hint="eastAsia" w:ascii="宋体" w:hAnsi="宋体" w:eastAsia="宋体" w:cs="宋体"/>
                <w:b w:val="0"/>
                <w:bCs w:val="0"/>
                <w:color w:val="auto"/>
                <w:sz w:val="21"/>
                <w:szCs w:val="21"/>
                <w:highlight w:val="none"/>
              </w:rPr>
              <w:t xml:space="preserve">、产品检验的环境条件</w:t>
            </w:r>
            <w:r>
              <w:rPr>
                <w:rFonts w:hint="eastAsia" w:ascii="宋体" w:hAnsi="宋体" w:eastAsia="宋体" w:cs="宋体"/>
                <w:b w:val="0"/>
                <w:bCs w:val="0"/>
                <w:color w:val="auto"/>
                <w:sz w:val="21"/>
                <w:szCs w:val="21"/>
                <w:highlight w:val="none"/>
                <w:lang w:val="en-US" w:eastAsia="zh-CN"/>
              </w:rPr>
              <w:t xml:space="preserve">基本</w:t>
            </w:r>
            <w:r>
              <w:rPr>
                <w:rFonts w:hint="eastAsia" w:ascii="宋体" w:hAnsi="宋体" w:eastAsia="宋体" w:cs="宋体"/>
                <w:b w:val="0"/>
                <w:bCs w:val="0"/>
                <w:color w:val="auto"/>
                <w:sz w:val="21"/>
                <w:szCs w:val="21"/>
                <w:highlight w:val="none"/>
              </w:rPr>
              <w:t xml:space="preserve">充分，</w:t>
            </w:r>
            <w:r>
              <w:rPr>
                <w:rFonts w:hint="eastAsia" w:ascii="宋体" w:hAnsi="宋体" w:eastAsia="宋体" w:cs="宋体"/>
                <w:b w:val="0"/>
                <w:bCs w:val="0"/>
                <w:color w:val="auto"/>
                <w:sz w:val="21"/>
                <w:szCs w:val="21"/>
                <w:highlight w:val="none"/>
                <w:lang w:val="en-US" w:eastAsia="zh-CN"/>
              </w:rPr>
              <w:t xml:space="preserve">基本</w:t>
            </w:r>
            <w:r>
              <w:rPr>
                <w:rFonts w:hint="eastAsia" w:ascii="宋体" w:hAnsi="宋体" w:eastAsia="宋体" w:cs="宋体"/>
                <w:b w:val="0"/>
                <w:bCs w:val="0"/>
                <w:color w:val="auto"/>
                <w:sz w:val="21"/>
                <w:szCs w:val="21"/>
                <w:highlight w:val="none"/>
              </w:rPr>
              <w:t xml:space="preserve">满足产品检验对环境设施的特殊要求，得</w:t>
            </w: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p>
            <w:pPr>
              <w:pStyle w:val="884"/>
              <w:ind w:left="0" w:right="0" w:firstLine="0"/>
              <w:jc w:val="left"/>
              <w:spacing w:line="264" w:lineRule="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rPr>
              <w:t xml:space="preserve">主要试验场所环境及产品检验的环境条件控制有欠缺，得</w:t>
            </w:r>
            <w:r>
              <w:rPr>
                <w:rFonts w:hint="eastAsia" w:ascii="宋体" w:hAnsi="宋体" w:eastAsia="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rPr>
              <w:t xml:space="preserve">分。</w:t>
            </w:r>
            <w:r/>
          </w:p>
          <w:p>
            <w:pPr>
              <w:pStyle w:val="884"/>
              <w:ind w:left="0" w:right="0" w:firstLine="0"/>
              <w:jc w:val="left"/>
              <w:spacing w:line="264" w:lineRule="auto"/>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rPr>
              <w:t xml:space="preserve">主</w:t>
            </w:r>
            <w:r>
              <w:rPr>
                <w:rFonts w:hint="eastAsia" w:ascii="宋体" w:hAnsi="宋体" w:eastAsia="宋体" w:cs="宋体"/>
                <w:b w:val="0"/>
                <w:bCs w:val="0"/>
                <w:color w:val="auto"/>
                <w:sz w:val="21"/>
                <w:szCs w:val="21"/>
                <w:highlight w:val="none"/>
              </w:rPr>
              <w:t xml:space="preserve">要试验场所环境</w:t>
            </w:r>
            <w:r>
              <w:rPr>
                <w:rFonts w:hint="eastAsia" w:ascii="宋体" w:hAnsi="宋体" w:eastAsia="宋体" w:cs="宋体"/>
                <w:b w:val="0"/>
                <w:bCs w:val="0"/>
                <w:color w:val="auto"/>
                <w:sz w:val="21"/>
                <w:szCs w:val="21"/>
                <w:highlight w:val="none"/>
                <w:lang w:val="en-US" w:eastAsia="zh-CN"/>
              </w:rPr>
              <w:t xml:space="preserve">有欠缺</w:t>
            </w:r>
            <w:r>
              <w:rPr>
                <w:rFonts w:hint="eastAsia" w:ascii="宋体" w:hAnsi="宋体" w:eastAsia="宋体" w:cs="宋体"/>
                <w:b w:val="0"/>
                <w:bCs w:val="0"/>
                <w:color w:val="auto"/>
                <w:sz w:val="21"/>
                <w:szCs w:val="21"/>
                <w:highlight w:val="none"/>
              </w:rPr>
              <w:t xml:space="preserve">、产品检验的环境条件控制</w:t>
            </w:r>
            <w:r>
              <w:rPr>
                <w:rFonts w:hint="eastAsia" w:ascii="宋体" w:hAnsi="宋体" w:eastAsia="宋体" w:cs="宋体"/>
                <w:b w:val="0"/>
                <w:bCs w:val="0"/>
                <w:color w:val="auto"/>
                <w:sz w:val="21"/>
                <w:szCs w:val="21"/>
                <w:highlight w:val="none"/>
                <w:lang w:val="en-US" w:eastAsia="zh-CN"/>
              </w:rPr>
              <w:t xml:space="preserve">有缺陷</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得2分。</w:t>
            </w:r>
            <w:r/>
          </w:p>
          <w:p>
            <w:pPr>
              <w:pStyle w:val="884"/>
              <w:ind w:left="0" w:right="0" w:firstLine="0"/>
              <w:jc w:val="left"/>
              <w:spacing w:line="264"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未提供或</w:t>
            </w:r>
            <w:r>
              <w:rPr>
                <w:rFonts w:hint="eastAsia" w:ascii="宋体" w:hAnsi="宋体" w:eastAsia="宋体" w:cs="宋体"/>
                <w:b w:val="0"/>
                <w:bCs w:val="0"/>
                <w:color w:val="auto"/>
                <w:sz w:val="21"/>
                <w:szCs w:val="21"/>
                <w:highlight w:val="none"/>
              </w:rPr>
              <w:t xml:space="preserve">不能满足产品检验对环境设施的特殊得</w:t>
            </w:r>
            <w:r>
              <w:rPr>
                <w:rFonts w:hint="eastAsia" w:ascii="宋体" w:hAnsi="宋体" w:eastAsia="宋体" w:cs="宋体"/>
                <w:b w:val="0"/>
                <w:bCs w:val="0"/>
                <w:color w:val="auto"/>
                <w:sz w:val="21"/>
                <w:szCs w:val="21"/>
                <w:highlight w:val="none"/>
                <w:lang w:val="en-US" w:eastAsia="zh-CN"/>
              </w:rPr>
              <w:t xml:space="preserve">0</w:t>
            </w:r>
            <w:r>
              <w:rPr>
                <w:rFonts w:hint="eastAsia" w:ascii="宋体" w:hAnsi="宋体" w:eastAsia="宋体" w:cs="宋体"/>
                <w:b w:val="0"/>
                <w:bCs w:val="0"/>
                <w:color w:val="auto"/>
                <w:sz w:val="21"/>
                <w:szCs w:val="21"/>
                <w:highlight w:val="none"/>
              </w:rPr>
              <w:t xml:space="preserve">分。</w:t>
            </w:r>
            <w:r/>
          </w:p>
          <w:p>
            <w:pPr>
              <w:pStyle w:val="884"/>
              <w:ind w:left="0" w:right="0" w:firstLine="0"/>
              <w:jc w:val="left"/>
              <w:spacing w:line="264" w:lineRule="auto"/>
              <w:rPr>
                <w:rFonts w:hint="eastAsia" w:ascii="宋体" w:hAnsi="宋体" w:cs="宋体"/>
                <w:color w:val="auto"/>
                <w:sz w:val="21"/>
                <w:szCs w:val="21"/>
                <w:highlight w:val="none"/>
                <w:lang w:val="en-US" w:eastAsia="zh-CN"/>
              </w:rPr>
            </w:pPr>
            <w:r>
              <w:rPr>
                <w:rFonts w:hint="eastAsia" w:ascii="宋体" w:hAnsi="宋体" w:eastAsia="宋体" w:cs="宋体"/>
                <w:b/>
                <w:bCs/>
                <w:color w:val="auto"/>
                <w:sz w:val="21"/>
                <w:szCs w:val="21"/>
                <w:highlight w:val="none"/>
              </w:rPr>
              <w:t xml:space="preserve">投标文件中须相关证明</w:t>
            </w:r>
            <w:r>
              <w:rPr>
                <w:rFonts w:hint="eastAsia" w:ascii="宋体" w:hAnsi="宋体" w:eastAsia="宋体" w:cs="宋体"/>
                <w:b/>
                <w:bCs/>
                <w:color w:val="000000" w:themeColor="text1"/>
                <w:sz w:val="21"/>
                <w:szCs w:val="21"/>
                <w:highlight w:val="none"/>
                <w14:textFill>
                  <w14:solidFill>
                    <w14:schemeClr w14:val="tx1"/>
                  </w14:solidFill>
                </w14:textFill>
              </w:rPr>
              <w:t xml:space="preserve">材料扫描件</w:t>
            </w:r>
            <w:r>
              <w:rPr>
                <w:rFonts w:hint="eastAsia" w:ascii="宋体" w:hAnsi="宋体" w:eastAsia="宋体" w:cs="宋体"/>
                <w:b/>
                <w:bCs/>
                <w:color w:val="auto"/>
                <w:sz w:val="21"/>
                <w:szCs w:val="21"/>
                <w:highlight w:val="none"/>
              </w:rPr>
              <w:t xml:space="preserve">。</w:t>
            </w:r>
            <w:r/>
          </w:p>
        </w:tc>
      </w:tr>
    </w:tbl>
    <w:p>
      <w:pPr>
        <w:pStyle w:val="880"/>
        <w:ind w:firstLine="480"/>
        <w:rPr>
          <w:rFonts w:ascii="宋体" w:hAnsi="宋体" w:cs="宋体"/>
          <w:color w:val="auto"/>
          <w:sz w:val="24"/>
          <w:highlight w:val="none"/>
        </w:rPr>
      </w:pPr>
      <w:r>
        <w:rPr>
          <w:rFonts w:ascii="宋体" w:hAnsi="宋体" w:cs="宋体"/>
          <w:color w:val="auto"/>
          <w:sz w:val="24"/>
          <w:highlight w:val="none"/>
        </w:rPr>
      </w:r>
      <w:r/>
    </w:p>
    <w:p>
      <w:pPr>
        <w:jc w:val="center"/>
        <w:spacing w:line="360" w:lineRule="auto"/>
        <w:rPr>
          <w:rFonts w:ascii="宋体" w:hAnsi="宋体" w:cs="宋体"/>
          <w:bCs/>
          <w:color w:val="auto"/>
          <w:sz w:val="24"/>
          <w:highlight w:val="none"/>
        </w:rPr>
        <w:outlineLvl w:val="0"/>
      </w:pPr>
      <w:r>
        <w:rPr>
          <w:rFonts w:hint="eastAsia" w:ascii="宋体" w:hAnsi="宋体" w:cs="宋体"/>
          <w:color w:val="auto"/>
          <w:highlight w:val="none"/>
        </w:rPr>
        <w:br w:type="page" w:clear="all"/>
      </w:r>
      <w:bookmarkStart w:id="7" w:name="_Toc13480"/>
      <w:r>
        <w:rPr>
          <w:rFonts w:hint="eastAsia" w:ascii="宋体" w:hAnsi="宋体" w:cs="宋体"/>
          <w:b/>
          <w:bCs/>
          <w:color w:val="auto"/>
          <w:sz w:val="28"/>
          <w:szCs w:val="28"/>
          <w:highlight w:val="none"/>
        </w:rPr>
        <w:t xml:space="preserve">第五章  采购需求</w:t>
      </w:r>
      <w:bookmarkEnd w:id="7"/>
      <w:r/>
      <w:r/>
    </w:p>
    <w:p>
      <w:pPr>
        <w:numPr>
          <w:ilvl w:val="0"/>
          <w:numId w:val="0"/>
        </w:numPr>
        <w:ind w:firstLine="482"/>
        <w:spacing w:line="360" w:lineRule="auto"/>
        <w:rPr>
          <w:rFonts w:hint="default"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一、项目概况</w:t>
      </w:r>
      <w:r/>
    </w:p>
    <w:p>
      <w:pPr>
        <w:ind w:firstLine="48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1、项目名称：2025年工业产品质量区级监督抽查抽样检验机构技术服务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2、服务地点：徐州市。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3、合同履行期限：</w:t>
      </w:r>
      <w:r>
        <w:rPr>
          <w:rFonts w:hint="eastAsia" w:ascii="宋体" w:hAnsi="宋体" w:eastAsia="宋体" w:cs="宋体"/>
          <w:color w:val="auto"/>
          <w:sz w:val="24"/>
          <w:highlight w:val="none"/>
          <w:lang w:val="en-US" w:eastAsia="zh-CN"/>
        </w:rPr>
        <w:t xml:space="preserve">自合同签订之日起至2026年12月31日止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若采购人另有要求，按照采购人要求执行。</w:t>
      </w:r>
      <w:r/>
    </w:p>
    <w:p>
      <w:pPr>
        <w:numPr>
          <w:ilvl w:val="0"/>
          <w:numId w:val="0"/>
        </w:num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本项目设置一个标段</w:t>
      </w:r>
      <w:r>
        <w:rPr>
          <w:rFonts w:hint="eastAsia" w:ascii="宋体" w:hAnsi="宋体" w:cs="宋体"/>
          <w:color w:val="auto"/>
          <w:sz w:val="24"/>
          <w:highlight w:val="none"/>
          <w:lang w:eastAsia="zh-CN"/>
        </w:rPr>
        <w:t xml:space="preserve">。</w:t>
      </w:r>
      <w:r/>
    </w:p>
    <w:p>
      <w:pPr>
        <w:numPr>
          <w:ilvl w:val="0"/>
          <w:numId w:val="0"/>
        </w:numPr>
        <w:ind w:firstLine="482"/>
        <w:spacing w:line="360" w:lineRule="auto"/>
        <w:rPr>
          <w:rFonts w:hint="default" w:ascii="宋体" w:hAnsi="宋体" w:cs="宋体"/>
          <w:b/>
          <w:bCs/>
          <w:color w:val="auto"/>
          <w:sz w:val="24"/>
          <w:szCs w:val="24"/>
          <w:highlight w:val="none"/>
          <w:lang w:val="en-US" w:eastAsia="zh-CN" w:bidi="ar-SA"/>
        </w:rPr>
      </w:pPr>
      <w:r>
        <w:rPr>
          <w:rFonts w:hint="eastAsia" w:ascii="宋体" w:hAnsi="宋体" w:cs="宋体"/>
          <w:b/>
          <w:bCs/>
          <w:color w:val="auto"/>
          <w:sz w:val="24"/>
          <w:szCs w:val="24"/>
          <w:highlight w:val="none"/>
          <w:lang w:val="en-US" w:eastAsia="zh-CN" w:bidi="ar-SA"/>
        </w:rPr>
        <w:t xml:space="preserve">二、预算金额</w:t>
      </w:r>
      <w:r/>
    </w:p>
    <w:p>
      <w:pPr>
        <w:numPr>
          <w:ilvl w:val="0"/>
          <w:numId w:val="0"/>
        </w:num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本项目预算金额为</w:t>
      </w:r>
      <w:r>
        <w:rPr>
          <w:rFonts w:hint="eastAsia" w:ascii="宋体" w:hAnsi="宋体" w:cs="宋体"/>
          <w:b/>
          <w:bCs/>
          <w:color w:val="auto"/>
          <w:sz w:val="24"/>
          <w:highlight w:val="none"/>
          <w:lang w:val="en-US" w:eastAsia="zh-CN"/>
        </w:rPr>
        <w:t xml:space="preserve">84</w:t>
      </w:r>
      <w:r>
        <w:rPr>
          <w:rFonts w:hint="eastAsia" w:ascii="宋体" w:hAnsi="宋体" w:cs="宋体"/>
          <w:b/>
          <w:bCs/>
          <w:color w:val="auto"/>
          <w:sz w:val="24"/>
          <w:highlight w:val="none"/>
        </w:rPr>
        <w:t xml:space="preserve">万人民币，最高限价为</w:t>
      </w:r>
      <w:r>
        <w:rPr>
          <w:rFonts w:hint="eastAsia" w:ascii="宋体" w:hAnsi="宋体" w:cs="宋体"/>
          <w:b/>
          <w:bCs/>
          <w:color w:val="auto"/>
          <w:sz w:val="24"/>
          <w:highlight w:val="none"/>
          <w:lang w:val="en-US" w:eastAsia="zh-CN"/>
        </w:rPr>
        <w:t xml:space="preserve">84</w:t>
      </w:r>
      <w:r>
        <w:rPr>
          <w:rFonts w:hint="eastAsia" w:ascii="宋体" w:hAnsi="宋体" w:cs="宋体"/>
          <w:b/>
          <w:bCs/>
          <w:color w:val="auto"/>
          <w:sz w:val="24"/>
          <w:highlight w:val="none"/>
        </w:rPr>
        <w:t xml:space="preserve">万元人民币</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单价</w:t>
      </w:r>
      <w:r>
        <w:rPr>
          <w:rFonts w:hint="eastAsia" w:ascii="宋体" w:hAnsi="宋体" w:cs="宋体"/>
          <w:b/>
          <w:bCs/>
          <w:color w:val="auto"/>
          <w:sz w:val="24"/>
          <w:highlight w:val="none"/>
          <w:lang w:val="en-US" w:eastAsia="zh-CN"/>
        </w:rPr>
        <w:t xml:space="preserve">2100</w:t>
      </w:r>
      <w:r>
        <w:rPr>
          <w:rFonts w:hint="eastAsia" w:ascii="宋体" w:hAnsi="宋体" w:cs="宋体"/>
          <w:b/>
          <w:bCs/>
          <w:color w:val="auto"/>
          <w:sz w:val="24"/>
          <w:highlight w:val="none"/>
        </w:rPr>
        <w:t xml:space="preserve">元/批次；超过最高限价（单价）按无效响应处理。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报价</w:t>
      </w:r>
      <w:r>
        <w:rPr>
          <w:rFonts w:hint="eastAsia" w:ascii="宋体" w:hAnsi="宋体" w:cs="宋体"/>
          <w:color w:val="auto"/>
          <w:sz w:val="24"/>
          <w:highlight w:val="none"/>
          <w:lang w:val="en-US" w:eastAsia="zh-CN"/>
        </w:rPr>
        <w:t xml:space="preserve">应包括招标文件中所确定的服务范围内所含的全部内容，以及为完成上述内容所需的全部费用。</w:t>
      </w:r>
      <w:r>
        <w:rPr>
          <w:rFonts w:hint="eastAsia" w:ascii="宋体" w:hAnsi="宋体" w:eastAsia="宋体" w:cs="宋体"/>
          <w:color w:val="auto"/>
          <w:sz w:val="24"/>
          <w:highlight w:val="none"/>
        </w:rPr>
        <w:t xml:space="preserve">涵盖检验费用、抽样费和买样费</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rPr>
        <w:t xml:space="preserve">人员保险费、税金等</w:t>
      </w:r>
      <w:r>
        <w:rPr>
          <w:rFonts w:hint="eastAsia" w:ascii="宋体" w:hAnsi="宋体" w:eastAsia="宋体" w:cs="宋体"/>
          <w:color w:val="auto"/>
          <w:sz w:val="24"/>
          <w:highlight w:val="none"/>
        </w:rPr>
        <w:t xml:space="preserve">，以及工作中发生的人员、车辆等其他经费，</w:t>
      </w:r>
      <w:r>
        <w:rPr>
          <w:rFonts w:hint="eastAsia" w:ascii="宋体" w:hAnsi="宋体" w:cs="宋体"/>
          <w:color w:val="auto"/>
          <w:sz w:val="24"/>
          <w:highlight w:val="none"/>
          <w:lang w:val="zh-CN"/>
        </w:rPr>
        <w:t xml:space="preserve">投标人应充分了解该项目的总体情况、各类市场风险以及影响投标报价的其他要素风险。</w:t>
      </w:r>
      <w:r>
        <w:rPr>
          <w:rFonts w:hint="eastAsia" w:ascii="宋体" w:hAnsi="宋体" w:cs="宋体"/>
          <w:color w:val="auto"/>
          <w:sz w:val="24"/>
          <w:highlight w:val="none"/>
        </w:rPr>
        <w:t xml:space="preserve">采购人不再支付报价以外的任何费用。</w:t>
      </w:r>
      <w:r/>
    </w:p>
    <w:p>
      <w:pPr>
        <w:ind w:firstLine="482"/>
        <w:jc w:val="left"/>
        <w:spacing w:line="360" w:lineRule="auto"/>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三</w:t>
      </w:r>
      <w:r>
        <w:rPr>
          <w:rFonts w:hint="eastAsia" w:ascii="宋体" w:hAnsi="宋体" w:cs="宋体"/>
          <w:b/>
          <w:bCs/>
          <w:color w:val="auto"/>
          <w:sz w:val="24"/>
          <w:highlight w:val="none"/>
        </w:rPr>
        <w:t xml:space="preserve">、项目</w:t>
      </w:r>
      <w:r>
        <w:rPr>
          <w:rFonts w:hint="eastAsia" w:ascii="宋体" w:hAnsi="宋体" w:cs="宋体"/>
          <w:b/>
          <w:bCs/>
          <w:color w:val="auto"/>
          <w:sz w:val="24"/>
          <w:highlight w:val="none"/>
          <w:lang w:val="en-US" w:eastAsia="zh-CN"/>
        </w:rPr>
        <w:t xml:space="preserve">主要</w:t>
      </w:r>
      <w:r>
        <w:rPr>
          <w:rFonts w:hint="eastAsia" w:ascii="宋体" w:hAnsi="宋体" w:cs="宋体"/>
          <w:b/>
          <w:bCs/>
          <w:color w:val="auto"/>
          <w:sz w:val="24"/>
          <w:highlight w:val="none"/>
        </w:rPr>
        <w:t xml:space="preserve">内容</w:t>
      </w:r>
      <w:r/>
    </w:p>
    <w:p>
      <w:pPr>
        <w:pStyle w:val="810"/>
        <w:ind w:firstLine="480"/>
        <w:jc w:val="left"/>
        <w:spacing w:after="0"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val="en-US" w:eastAsia="zh-CN"/>
        </w:rPr>
        <w:t xml:space="preserve">2025年工业产品质量区级监督抽查抽样检验机构技术服务，产品覆盖电动自行车及配套产品、家用燃气灶具及配套产品、成品油等</w:t>
      </w:r>
      <w:r>
        <w:rPr>
          <w:rFonts w:hint="eastAsia" w:ascii="宋体" w:hAnsi="宋体" w:cs="宋体"/>
          <w:color w:val="auto"/>
          <w:sz w:val="24"/>
          <w:highlight w:val="none"/>
          <w:lang w:val="en-US" w:eastAsia="zh-CN"/>
        </w:rPr>
        <w:t xml:space="preserve">28</w:t>
      </w:r>
      <w:r>
        <w:rPr>
          <w:rFonts w:hint="eastAsia" w:ascii="宋体" w:hAnsi="宋体" w:eastAsia="宋体" w:cs="宋体"/>
          <w:color w:val="auto"/>
          <w:sz w:val="24"/>
          <w:highlight w:val="none"/>
          <w:lang w:val="en-US" w:eastAsia="zh-CN"/>
        </w:rPr>
        <w:t xml:space="preserve">项，约</w:t>
      </w:r>
      <w:r>
        <w:rPr>
          <w:rFonts w:hint="eastAsia" w:ascii="宋体" w:hAnsi="宋体" w:cs="宋体"/>
          <w:color w:val="auto"/>
          <w:sz w:val="24"/>
          <w:highlight w:val="none"/>
          <w:lang w:val="en-US" w:eastAsia="zh-CN"/>
        </w:rPr>
        <w:t xml:space="preserve">400</w:t>
      </w:r>
      <w:r>
        <w:rPr>
          <w:rFonts w:hint="eastAsia" w:ascii="宋体" w:hAnsi="宋体" w:eastAsia="宋体" w:cs="宋体"/>
          <w:color w:val="auto"/>
          <w:sz w:val="24"/>
          <w:highlight w:val="none"/>
          <w:lang w:val="en-US" w:eastAsia="zh-CN"/>
        </w:rPr>
        <w:t xml:space="preserve">批次。成交单位应能在规定时间内完成抽样检测任务，并按要求将被检产品检测报告送达徐州市泉山区市场监督管理局。</w:t>
      </w:r>
      <w:r>
        <w:rPr>
          <w:rFonts w:hint="eastAsia" w:ascii="宋体" w:hAnsi="宋体" w:cs="宋体"/>
          <w:color w:val="auto"/>
          <w:sz w:val="24"/>
          <w:highlight w:val="none"/>
          <w:lang w:val="en-US" w:eastAsia="zh-CN"/>
        </w:rPr>
        <w:t xml:space="preserve">采购人</w:t>
      </w:r>
      <w:r>
        <w:rPr>
          <w:rFonts w:hint="eastAsia" w:ascii="宋体" w:hAnsi="宋体" w:cs="宋体"/>
          <w:color w:val="auto"/>
          <w:sz w:val="24"/>
          <w:szCs w:val="24"/>
          <w:highlight w:val="none"/>
          <w:lang w:val="en-US" w:eastAsia="zh-CN"/>
        </w:rPr>
        <w:t xml:space="preserve">不保证实际检测批次数量，实际工作时，根据省抽、市抽情况以及区委区政府重点工作要求适当调整，具体服从采购人要求，最终结算价格以实际检测数量为准。</w:t>
      </w:r>
      <w:r/>
    </w:p>
    <w:p>
      <w:pPr>
        <w:pStyle w:val="810"/>
        <w:ind w:firstLine="480"/>
        <w:jc w:val="left"/>
        <w:spacing w:after="0"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szCs w:val="24"/>
          <w:highlight w:val="none"/>
          <w:lang w:val="en-US" w:eastAsia="zh-CN"/>
        </w:rPr>
        <w:t xml:space="preserve">2、为应对突发性紧急事件、上级安排的专项检查任务等，对监督抽查计划表内以外的产品进行抽检，具体的抽检产品和批次数根据实际工作调整。抽查产品的检验项目、检验依据等按甲方要求实施。</w:t>
      </w:r>
      <w:r/>
    </w:p>
    <w:p>
      <w:pPr>
        <w:ind w:firstLine="482"/>
        <w:rPr>
          <w:rFonts w:hint="default" w:ascii="宋体" w:hAnsi="宋体" w:eastAsia="宋体" w:cs="宋体"/>
          <w:b/>
          <w:bCs/>
          <w:color w:val="auto"/>
          <w:sz w:val="24"/>
          <w:szCs w:val="24"/>
          <w:highlight w:val="none"/>
          <w:lang w:val="en-US"/>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、抽检范围及产品质量监督抽查计划表</w:t>
      </w:r>
      <w:r/>
    </w:p>
    <w:tbl>
      <w:tblPr>
        <w:tblStyle w:val="805"/>
        <w:tblW w:w="7598" w:type="dxa"/>
        <w:tblInd w:w="1425"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6"/>
        <w:gridCol w:w="5007"/>
        <w:gridCol w:w="1665"/>
      </w:tblGrid>
      <w:tr>
        <w:trPr>
          <w:trHeight w:val="970"/>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ascii="黑体" w:hAnsi="宋体" w:eastAsia="黑体" w:cs="黑体"/>
                <w:i w:val="0"/>
                <w:iCs w:val="0"/>
                <w:color w:val="auto"/>
                <w:sz w:val="24"/>
                <w:szCs w:val="24"/>
                <w:highlight w:val="none"/>
                <w:u w:val="none"/>
              </w:rPr>
              <w:suppressLineNumbers w:val="0"/>
            </w:pPr>
            <w:r>
              <w:rPr>
                <w:rFonts w:hint="eastAsia" w:ascii="黑体" w:hAnsi="宋体" w:eastAsia="黑体" w:cs="黑体"/>
                <w:i w:val="0"/>
                <w:iCs w:val="0"/>
                <w:color w:val="auto"/>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黑体" w:hAnsi="宋体" w:eastAsia="黑体" w:cs="黑体"/>
                <w:i w:val="0"/>
                <w:iCs w:val="0"/>
                <w:color w:val="auto"/>
                <w:sz w:val="24"/>
                <w:szCs w:val="24"/>
                <w:highlight w:val="none"/>
                <w:u w:val="none"/>
              </w:rPr>
              <w:suppressLineNumbers w:val="0"/>
            </w:pPr>
            <w:r>
              <w:rPr>
                <w:rFonts w:hint="eastAsia" w:ascii="黑体" w:hAnsi="宋体" w:eastAsia="黑体" w:cs="黑体"/>
                <w:i w:val="0"/>
                <w:iCs w:val="0"/>
                <w:color w:val="auto"/>
                <w:sz w:val="24"/>
                <w:szCs w:val="24"/>
                <w:highlight w:val="none"/>
                <w:u w:val="none"/>
                <w:lang w:val="en-US" w:eastAsia="zh-CN" w:bidi="ar"/>
              </w:rPr>
              <w:t xml:space="preserve">抽查产品</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eastAsia" w:ascii="黑体" w:hAnsi="宋体" w:eastAsia="黑体" w:cs="黑体"/>
                <w:i w:val="0"/>
                <w:iCs w:val="0"/>
                <w:color w:val="auto"/>
                <w:sz w:val="24"/>
                <w:szCs w:val="24"/>
                <w:highlight w:val="none"/>
                <w:u w:val="none"/>
              </w:rPr>
              <w:suppressLineNumbers w:val="0"/>
            </w:pPr>
            <w:r>
              <w:rPr>
                <w:rFonts w:hint="eastAsia" w:ascii="黑体" w:hAnsi="宋体" w:eastAsia="黑体" w:cs="黑体"/>
                <w:i w:val="0"/>
                <w:iCs w:val="0"/>
                <w:color w:val="auto"/>
                <w:sz w:val="24"/>
                <w:szCs w:val="24"/>
                <w:highlight w:val="none"/>
                <w:u w:val="none"/>
                <w:lang w:val="en-US" w:eastAsia="zh-CN" w:bidi="ar"/>
              </w:rPr>
              <w:t xml:space="preserve">批次数</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color w:val="auto"/>
                <w:highlight w:val="none"/>
                <w:lang w:val="en-US"/>
              </w:rPr>
              <w:suppressLineNumbers w:val="0"/>
            </w:pPr>
            <w:r>
              <w:rPr>
                <w:rFonts w:hint="eastAsia" w:cs="Times New Roman"/>
                <w:i w:val="0"/>
                <w:iCs w:val="0"/>
                <w:color w:val="auto"/>
                <w:sz w:val="21"/>
                <w:szCs w:val="21"/>
                <w:highlight w:val="none"/>
                <w:u w:val="none"/>
                <w:lang w:val="en-US" w:eastAsia="zh-CN" w:bidi="ar"/>
              </w:rPr>
              <w:t xml:space="preserve">20</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电动自行车充电器</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rPr>
              <w:suppressLineNumbers w:val="0"/>
            </w:pPr>
            <w:r>
              <w:rPr>
                <w:rFonts w:hint="eastAsia" w:cs="Times New Roman"/>
                <w:i w:val="0"/>
                <w:iCs w:val="0"/>
                <w:color w:val="auto"/>
                <w:sz w:val="21"/>
                <w:szCs w:val="21"/>
                <w:highlight w:val="none"/>
                <w:u w:val="none"/>
                <w:lang w:val="en-US" w:eastAsia="zh-CN" w:bidi="ar"/>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电动自行车电池</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rPr>
              <w:suppressLineNumbers w:val="0"/>
            </w:pPr>
            <w:r>
              <w:rPr>
                <w:rFonts w:hint="eastAsia" w:cs="Times New Roman"/>
                <w:i w:val="0"/>
                <w:iCs w:val="0"/>
                <w:color w:val="auto"/>
                <w:sz w:val="21"/>
                <w:szCs w:val="21"/>
                <w:highlight w:val="none"/>
                <w:u w:val="none"/>
                <w:lang w:val="en-US" w:eastAsia="zh-CN" w:bidi="ar"/>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头盔</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家用燃气灶具</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24</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燃气软管</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调压器</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热水器</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成品油</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16</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车用压缩天然气</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建筑保温材料</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食品相关产品</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一次性餐具</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儿童用品</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20</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学生用品</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20</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电线电缆</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便携式移动电源</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16</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18</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消防产品</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20</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19</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安全帽</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20</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防晒服</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羊绒制品</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22</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羽绒制品</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23</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塑料购物袋</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24</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涉VOCs产品（涂料、胶粘剂）</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25</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防爆电气</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家用开关及插座</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12</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27</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小家电</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rPr>
              <w:suppressLineNumbers w:val="0"/>
            </w:pPr>
            <w:r>
              <w:rPr>
                <w:rFonts w:hint="eastAsia" w:cs="Times New Roman"/>
                <w:i w:val="0"/>
                <w:iCs w:val="0"/>
                <w:color w:val="auto"/>
                <w:sz w:val="21"/>
                <w:szCs w:val="21"/>
                <w:highlight w:val="none"/>
                <w:u w:val="none"/>
                <w:lang w:val="en-US" w:eastAsia="zh-CN"/>
              </w:rPr>
              <w:t xml:space="preserve">24</w:t>
            </w:r>
            <w:r/>
          </w:p>
        </w:tc>
      </w:tr>
      <w:tr>
        <w:trPr>
          <w:trHeight w:val="459"/>
        </w:trPr>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eastAsia" w:cs="Times New Roman"/>
                <w:i w:val="0"/>
                <w:iCs w:val="0"/>
                <w:color w:val="auto"/>
                <w:sz w:val="21"/>
                <w:szCs w:val="21"/>
                <w:highlight w:val="none"/>
                <w:u w:val="none"/>
                <w:lang w:val="en-US" w:eastAsia="zh-CN" w:bidi="ar"/>
              </w:rPr>
              <w:t xml:space="preserve">28</w:t>
            </w:r>
            <w:r/>
          </w:p>
        </w:tc>
        <w:tc>
          <w:tcPr>
            <w:tcBorders>
              <w:top w:val="single" w:color="000000" w:sz="4" w:space="0"/>
              <w:left w:val="single" w:color="000000" w:sz="4" w:space="0"/>
              <w:bottom w:val="single" w:color="000000" w:sz="4" w:space="0"/>
              <w:right w:val="single" w:color="000000" w:sz="4" w:space="0"/>
            </w:tcBorders>
            <w:tcW w:w="5007" w:type="dxa"/>
            <w:vAlign w:val="center"/>
            <w:textDirection w:val="lrTb"/>
            <w:noWrap/>
          </w:tcPr>
          <w:p>
            <w:pPr>
              <w:jc w:val="center"/>
              <w:keepLines w:val="0"/>
              <w:keepNext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珠宝首饰</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eastAsia" w:cs="Times New Roman"/>
                <w:i w:val="0"/>
                <w:iCs w:val="0"/>
                <w:color w:val="auto"/>
                <w:sz w:val="21"/>
                <w:szCs w:val="21"/>
                <w:highlight w:val="none"/>
                <w:u w:val="none"/>
                <w:lang w:val="en-US" w:eastAsia="zh-CN" w:bidi="ar"/>
              </w:rPr>
              <w:t xml:space="preserve">12</w:t>
            </w:r>
            <w:r/>
          </w:p>
        </w:tc>
      </w:tr>
      <w:tr>
        <w:trPr>
          <w:trHeight w:val="471"/>
        </w:trPr>
        <w:tc>
          <w:tcPr>
            <w:gridSpan w:val="2"/>
            <w:tcBorders>
              <w:top w:val="single" w:color="000000" w:sz="4" w:space="0"/>
              <w:left w:val="single" w:color="000000" w:sz="4" w:space="0"/>
              <w:bottom w:val="single" w:color="000000" w:sz="4" w:space="0"/>
              <w:right w:val="single" w:color="000000" w:sz="4" w:space="0"/>
            </w:tcBorders>
            <w:tcW w:w="5933" w:type="dxa"/>
            <w:vAlign w:val="center"/>
            <w:textDirection w:val="lrTb"/>
            <w:noWrap/>
          </w:tcPr>
          <w:p>
            <w:pPr>
              <w:jc w:val="center"/>
              <w:keepLines w:val="0"/>
              <w:keepNext w:val="0"/>
              <w:widowControl/>
              <w:rPr>
                <w:rFonts w:hint="eastAsia" w:ascii="黑体" w:hAnsi="宋体" w:eastAsia="黑体" w:cs="黑体"/>
                <w:i w:val="0"/>
                <w:iCs w:val="0"/>
                <w:color w:val="auto"/>
                <w:sz w:val="21"/>
                <w:szCs w:val="21"/>
                <w:highlight w:val="none"/>
                <w:u w:val="none"/>
              </w:rPr>
              <w:suppressLineNumbers w:val="0"/>
            </w:pPr>
            <w:r>
              <w:rPr>
                <w:rFonts w:hint="eastAsia" w:ascii="黑体" w:hAnsi="宋体" w:eastAsia="黑体" w:cs="黑体"/>
                <w:i w:val="0"/>
                <w:iCs w:val="0"/>
                <w:color w:val="auto"/>
                <w:sz w:val="21"/>
                <w:szCs w:val="21"/>
                <w:highlight w:val="none"/>
                <w:u w:val="none"/>
                <w:lang w:val="en-US" w:eastAsia="zh-CN" w:bidi="ar"/>
              </w:rPr>
              <w:t xml:space="preserve">合计</w:t>
            </w:r>
            <w:r/>
          </w:p>
        </w:tc>
        <w:tc>
          <w:tcPr>
            <w:tcBorders>
              <w:top w:val="single" w:color="000000" w:sz="4" w:space="0"/>
              <w:left w:val="single" w:color="000000" w:sz="4" w:space="0"/>
              <w:bottom w:val="single" w:color="000000" w:sz="4" w:space="0"/>
              <w:right w:val="single" w:color="000000" w:sz="4" w:space="0"/>
            </w:tcBorders>
            <w:tcW w:w="1665"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rPr>
              <w:suppressLineNumbers w:val="0"/>
            </w:pPr>
            <w:r>
              <w:rPr>
                <w:rFonts w:hint="eastAsia" w:cs="Times New Roman"/>
                <w:i w:val="0"/>
                <w:iCs w:val="0"/>
                <w:color w:val="auto"/>
                <w:sz w:val="21"/>
                <w:szCs w:val="21"/>
                <w:highlight w:val="none"/>
                <w:u w:val="none"/>
                <w:lang w:val="en-US" w:eastAsia="zh-CN" w:bidi="ar"/>
              </w:rPr>
              <w:t xml:space="preserve">400</w:t>
            </w:r>
            <w:r/>
          </w:p>
        </w:tc>
      </w:tr>
      <w:tr>
        <w:trPr>
          <w:trHeight w:val="864"/>
        </w:trPr>
        <w:tc>
          <w:tcPr>
            <w:gridSpan w:val="3"/>
            <w:tcBorders>
              <w:top w:val="single" w:color="000000" w:sz="4" w:space="0"/>
              <w:left w:val="single" w:color="000000" w:sz="4" w:space="0"/>
              <w:bottom w:val="single" w:color="000000" w:sz="4" w:space="0"/>
              <w:right w:val="single" w:color="000000" w:sz="4" w:space="0"/>
            </w:tcBorders>
            <w:tcW w:w="7598" w:type="dxa"/>
            <w:vAlign w:val="center"/>
            <w:textDirection w:val="lrTb"/>
            <w:noWrap/>
          </w:tcPr>
          <w:p>
            <w:pPr>
              <w:jc w:val="center"/>
              <w:keepLines w:val="0"/>
              <w:keepNext w:val="0"/>
              <w:widowControl/>
              <w:rPr>
                <w:rFonts w:hint="default" w:ascii="Times New Roman" w:hAnsi="Times New Roman" w:eastAsia="宋体" w:cs="Times New Roman"/>
                <w:i w:val="0"/>
                <w:iCs w:val="0"/>
                <w:color w:val="auto"/>
                <w:sz w:val="21"/>
                <w:szCs w:val="21"/>
                <w:highlight w:val="none"/>
                <w:u w:val="none"/>
                <w:lang w:val="en-US" w:eastAsia="zh-CN" w:bidi="ar"/>
              </w:rPr>
              <w:suppressLineNumbers w:val="0"/>
            </w:pPr>
            <w:r>
              <w:rPr>
                <w:rFonts w:hint="default" w:ascii="Times New Roman" w:hAnsi="Times New Roman" w:eastAsia="宋体" w:cs="Times New Roman"/>
                <w:i w:val="0"/>
                <w:iCs w:val="0"/>
                <w:color w:val="auto"/>
                <w:sz w:val="21"/>
                <w:szCs w:val="21"/>
                <w:highlight w:val="none"/>
                <w:u w:val="none"/>
                <w:lang w:val="en-US" w:eastAsia="zh-CN" w:bidi="ar"/>
              </w:rPr>
              <w:t xml:space="preserve">说明：实际工作时，根据省抽、市抽情况以及区委区政府重点工作要求适当调整。原则上已经省抽、市抽的企业、产品，区级监督抽查不再重复抽检。</w:t>
            </w:r>
            <w:r/>
          </w:p>
        </w:tc>
      </w:tr>
    </w:tbl>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五</w:t>
      </w:r>
      <w:r>
        <w:rPr>
          <w:rFonts w:hint="eastAsia" w:ascii="宋体" w:hAnsi="宋体" w:eastAsia="宋体" w:cs="宋体"/>
          <w:color w:val="auto"/>
          <w:sz w:val="24"/>
          <w:highlight w:val="none"/>
        </w:rPr>
        <w:t xml:space="preserve">、服务内容及要求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1.抽检机构单批次报价包含了检验费用、抽样费和买样费。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2.承检机构必须保证抽检过程公平、公正，出现较严重检验事故的，立即取消承检资格。</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承检机构应按照采购人要求，严格遵守抽样工作规范，保证抽样工作有效。样品抽取要由专门人员完成，样品运输要符合样品管理规定，不得委托第三方机构或以邮寄、快递等方式运输样品，应当派专人专车送达承检机构。</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承检机构应在规定时间内完成采购人部署的抽检检验工作，按照法定时限要求，依法出具检验报告，上报与检验报告对应的电子数据和PDF文件至指定的数据平台，汇总样品抽检结果信息，提交消费品合格率调查分析报告和制造业质量分析报告。</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为保证检验任务高效优质地完成，承检机构需接受采购人组织的各种形式的检查和考核，对于采购人在考核中提出的问题要及时进行整改，并提交整改报告。整改不到位的，采购人有权取消其承检资格并保留追究其经济赔偿责任和法律责任的权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6.因违反抽样、检验、信息披露等相关规定的，采购人有权取消其承检资格并追究其经济赔偿责任和法律责任。</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7.检验机构成交后在本项目服务期内，采购人可根据市场实际需求，涉及标准更新、增加商品新品种、调整部分商品检测项目或机动抽检、临时专项抽检等不确定因素，可调整检测任务。</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8.承检机构不得拒绝采购人委托的抽检任务，否则视为违约。</w:t>
      </w:r>
      <w:r/>
    </w:p>
    <w:p>
      <w:pPr>
        <w:ind w:firstLine="480"/>
        <w:spacing w:line="360" w:lineRule="auto"/>
        <w:rPr>
          <w:rFonts w:hint="default" w:eastAsia="宋体"/>
          <w:color w:val="auto"/>
          <w:highlight w:val="none"/>
          <w:lang w:val="en-US" w:eastAsia="zh-CN"/>
        </w:rPr>
      </w:pPr>
      <w:r>
        <w:rPr>
          <w:rFonts w:hint="eastAsia" w:ascii="宋体" w:hAnsi="宋体" w:eastAsia="宋体" w:cs="宋体"/>
          <w:color w:val="auto"/>
          <w:sz w:val="24"/>
          <w:highlight w:val="none"/>
        </w:rPr>
        <w:t xml:space="preserve">9.项目报价包括从项目成交服务期内所发生的一切费用，涵盖抽样、检测费用，以及工作中发生的人员、车辆等其他经费，采购单位不承担其他费用。</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六</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组织机构要求</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检验机构具有与应标产品类别相匹配的人员和能力，应符合《江苏省省级产品质量监督抽查工作规范》或《产品质量监督抽查管理暂行办法》的要求。</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2.本项目要求提供驻场服务人员一名，</w:t>
      </w:r>
      <w:r>
        <w:rPr>
          <w:rFonts w:hint="eastAsia" w:ascii="宋体" w:hAnsi="宋体" w:cs="宋体"/>
          <w:color w:val="auto"/>
          <w:sz w:val="24"/>
          <w:szCs w:val="24"/>
          <w:highlight w:val="none"/>
        </w:rPr>
        <w:t xml:space="preserve">作息制度与</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同步，按</w:t>
      </w:r>
      <w:r>
        <w:rPr>
          <w:rFonts w:hint="eastAsia" w:ascii="宋体" w:hAnsi="宋体" w:cs="宋体"/>
          <w:color w:val="auto"/>
          <w:sz w:val="24"/>
          <w:szCs w:val="24"/>
          <w:highlight w:val="none"/>
          <w:lang w:val="en-US" w:eastAsia="zh-CN"/>
        </w:rPr>
        <w:t xml:space="preserve">采购人</w:t>
      </w:r>
      <w:r>
        <w:rPr>
          <w:rFonts w:hint="eastAsia" w:ascii="宋体" w:hAnsi="宋体" w:cs="宋体"/>
          <w:color w:val="auto"/>
          <w:sz w:val="24"/>
          <w:szCs w:val="24"/>
          <w:highlight w:val="none"/>
        </w:rPr>
        <w:t xml:space="preserve">抽检计划完成抽检工作。</w:t>
      </w:r>
      <w:r/>
    </w:p>
    <w:p>
      <w:pPr>
        <w:ind w:firstLine="480"/>
        <w:spacing w:line="360" w:lineRule="auto"/>
        <w:rPr>
          <w:rFonts w:hint="eastAsia" w:ascii="宋体" w:hAnsi="宋体" w:eastAsia="宋体" w:cs="宋体"/>
          <w:color w:val="auto"/>
          <w:sz w:val="24"/>
          <w:highlight w:val="none"/>
          <w:lang w:val="zh-CN" w:eastAsia="zh-Hans"/>
        </w:rPr>
      </w:pPr>
      <w:r>
        <w:rPr>
          <w:rFonts w:hint="eastAsia" w:ascii="宋体" w:hAnsi="宋体" w:cs="宋体"/>
          <w:color w:val="auto"/>
          <w:sz w:val="24"/>
          <w:highlight w:val="none"/>
          <w:lang w:val="en-US" w:eastAsia="zh-CN"/>
        </w:rPr>
        <w:t xml:space="preserve">七</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zh-CN" w:eastAsia="zh-Hans"/>
        </w:rPr>
        <w:t xml:space="preserve">知识产权和技术秘密</w:t>
      </w:r>
      <w:r/>
    </w:p>
    <w:p>
      <w:pPr>
        <w:ind w:firstLine="480"/>
        <w:spacing w:line="360" w:lineRule="auto"/>
        <w:rPr>
          <w:rFonts w:hint="eastAsia" w:ascii="宋体" w:hAnsi="宋体" w:eastAsia="宋体" w:cs="宋体"/>
          <w:color w:val="auto"/>
          <w:sz w:val="24"/>
          <w:highlight w:val="none"/>
          <w:lang w:val="zh-CN" w:eastAsia="zh-Hans"/>
        </w:rPr>
      </w:pP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lang w:val="zh-CN" w:eastAsia="zh-Hans"/>
        </w:rPr>
        <w:t xml:space="preserve">应保证提供服务涉及的知识产权和技术秘密是合法取得，并享有完整的知识产权，不会因采购方的使用而被责令停止使用、追偿或要求赔偿损失。如出现此情况，采购</w:t>
      </w:r>
      <w:r>
        <w:rPr>
          <w:rFonts w:hint="eastAsia" w:ascii="宋体" w:hAnsi="宋体" w:eastAsia="宋体" w:cs="宋体"/>
          <w:color w:val="auto"/>
          <w:sz w:val="24"/>
          <w:highlight w:val="none"/>
        </w:rPr>
        <w:t xml:space="preserve">人</w:t>
      </w:r>
      <w:r>
        <w:rPr>
          <w:rFonts w:hint="eastAsia" w:ascii="宋体" w:hAnsi="宋体" w:eastAsia="宋体" w:cs="宋体"/>
          <w:color w:val="auto"/>
          <w:sz w:val="24"/>
          <w:highlight w:val="none"/>
          <w:lang w:val="zh-CN" w:eastAsia="zh-Hans"/>
        </w:rPr>
        <w:t xml:space="preserve">有权向</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lang w:val="zh-CN" w:eastAsia="zh-Hans"/>
        </w:rPr>
        <w:t xml:space="preserve">追回所支付的全部服务费用，并要求</w:t>
      </w:r>
      <w:r>
        <w:rPr>
          <w:rFonts w:hint="eastAsia" w:ascii="宋体" w:hAnsi="宋体" w:eastAsia="宋体" w:cs="宋体"/>
          <w:color w:val="auto"/>
          <w:sz w:val="24"/>
          <w:highlight w:val="none"/>
        </w:rPr>
        <w:t xml:space="preserve">成交供应商</w:t>
      </w:r>
      <w:r>
        <w:rPr>
          <w:rFonts w:hint="eastAsia" w:ascii="宋体" w:hAnsi="宋体" w:eastAsia="宋体" w:cs="宋体"/>
          <w:color w:val="auto"/>
          <w:sz w:val="24"/>
          <w:highlight w:val="none"/>
          <w:lang w:val="zh-CN" w:eastAsia="zh-Hans"/>
        </w:rPr>
        <w:t xml:space="preserve">承担所有经济损失和法律责任，包含但不限于侵犯专利权、商标权或工业设计权的起诉、行动、行政程序索赔、请求等以为此而产生的损失和损害、费用和支出。</w:t>
      </w:r>
      <w:r/>
    </w:p>
    <w:p>
      <w:pPr>
        <w:ind w:firstLine="48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八</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zh-CN" w:eastAsia="en-US"/>
        </w:rPr>
        <w:t xml:space="preserve">其他要求</w:t>
      </w:r>
      <w:r>
        <w:rPr>
          <w:rFonts w:hint="eastAsia" w:ascii="宋体" w:hAnsi="宋体" w:eastAsia="宋体" w:cs="宋体"/>
          <w:color w:val="auto"/>
          <w:sz w:val="24"/>
          <w:highlight w:val="none"/>
        </w:rPr>
        <w:t xml:space="preserve">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其他要求</w:t>
      </w:r>
      <w:r>
        <w:rPr>
          <w:rFonts w:hint="eastAsia" w:ascii="宋体" w:hAnsi="宋体" w:eastAsia="宋体" w:cs="宋体"/>
          <w:color w:val="auto"/>
          <w:sz w:val="24"/>
          <w:highlight w:val="none"/>
          <w:lang w:val="zh-CN" w:eastAsia="en-US"/>
        </w:rPr>
        <w:t xml:space="preserve">见拟签订的合同</w:t>
      </w:r>
      <w:r>
        <w:rPr>
          <w:rFonts w:hint="eastAsia" w:ascii="宋体" w:hAnsi="宋体" w:eastAsia="宋体" w:cs="宋体"/>
          <w:color w:val="auto"/>
          <w:sz w:val="24"/>
          <w:highlight w:val="none"/>
          <w:lang w:val="en-US" w:eastAsia="zh-CN"/>
        </w:rPr>
        <w:t xml:space="preserve">文本</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rPr>
          <w:rFonts w:hint="eastAsia" w:ascii="仿宋" w:hAnsi="仿宋" w:eastAsia="仿宋" w:cs="仿宋"/>
          <w:b w:val="0"/>
          <w:bCs w:val="0"/>
          <w:color w:val="auto"/>
          <w:sz w:val="30"/>
          <w:szCs w:val="30"/>
          <w:highlight w:val="none"/>
        </w:rPr>
        <w:outlineLvl w:val="0"/>
      </w:pPr>
      <w:r/>
      <w:bookmarkStart w:id="8" w:name="_Toc2754"/>
      <w:r>
        <w:rPr>
          <w:rFonts w:hint="eastAsia" w:ascii="宋体" w:hAnsi="宋体" w:cs="宋体"/>
          <w:b/>
          <w:bCs/>
          <w:color w:val="auto"/>
          <w:sz w:val="32"/>
          <w:szCs w:val="32"/>
          <w:highlight w:val="none"/>
        </w:rPr>
        <w:t xml:space="preserve">第六章  拟签订的合同文本</w:t>
      </w:r>
      <w:r/>
    </w:p>
    <w:p>
      <w:pPr>
        <w:pStyle w:val="1121"/>
        <w:ind w:left="0" w:right="0"/>
        <w:jc w:val="center"/>
        <w:keepLines w:val="0"/>
        <w:keepNext w:val="0"/>
        <w:pageBreakBefore w:val="0"/>
        <w:spacing w:beforeAutospacing="0" w:after="0" w:afterAutospacing="0" w:line="36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r>
      <w:r/>
    </w:p>
    <w:p>
      <w:pPr>
        <w:pStyle w:val="1121"/>
        <w:ind w:left="0" w:right="0"/>
        <w:jc w:val="center"/>
        <w:keepLines w:val="0"/>
        <w:keepNext w:val="0"/>
        <w:pageBreakBefore w:val="0"/>
        <w:spacing w:beforeAutospacing="0" w:after="0" w:afterAutospacing="0" w:line="36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t xml:space="preserve">项目名称：</w:t>
      </w:r>
      <w:r>
        <w:rPr>
          <w:rFonts w:hint="eastAsia" w:ascii="仿宋" w:hAnsi="仿宋" w:eastAsia="仿宋" w:cs="仿宋"/>
          <w:b w:val="0"/>
          <w:bCs w:val="0"/>
          <w:color w:val="auto"/>
          <w:sz w:val="30"/>
          <w:szCs w:val="30"/>
          <w:highlight w:val="none"/>
          <w:lang w:eastAsia="zh-CN"/>
        </w:rPr>
        <w:t xml:space="preserve">2025年工业产品质量区级监督抽查抽样检验机构技术服务</w:t>
      </w:r>
      <w:r/>
    </w:p>
    <w:p>
      <w:pPr>
        <w:pStyle w:val="1121"/>
        <w:ind w:left="0" w:right="0"/>
        <w:jc w:val="center"/>
        <w:keepLines w:val="0"/>
        <w:keepNext w:val="0"/>
        <w:pageBreakBefore w:val="0"/>
        <w:spacing w:beforeAutospacing="0" w:after="0" w:afterAutospacing="0" w:line="360" w:lineRule="auto"/>
        <w:rPr>
          <w:rFonts w:hint="eastAsia" w:ascii="仿宋" w:hAnsi="仿宋" w:eastAsia="仿宋" w:cs="仿宋"/>
          <w:b w:val="0"/>
          <w:bCs w:val="0"/>
          <w:color w:val="auto"/>
          <w:sz w:val="30"/>
          <w:szCs w:val="30"/>
          <w:highlight w:val="none"/>
        </w:rPr>
      </w:pPr>
      <w:r>
        <w:rPr>
          <w:rFonts w:hint="eastAsia" w:ascii="仿宋" w:hAnsi="仿宋" w:eastAsia="仿宋" w:cs="仿宋"/>
          <w:b w:val="0"/>
          <w:bCs w:val="0"/>
          <w:color w:val="auto"/>
          <w:sz w:val="30"/>
          <w:szCs w:val="30"/>
          <w:highlight w:val="none"/>
        </w:rPr>
        <w:t xml:space="preserve">项目编号：</w:t>
      </w:r>
      <w:r>
        <w:rPr>
          <w:rFonts w:hint="eastAsia" w:ascii="仿宋" w:hAnsi="仿宋" w:eastAsia="仿宋" w:cs="仿宋"/>
          <w:b w:val="0"/>
          <w:bCs w:val="0"/>
          <w:color w:val="auto"/>
          <w:sz w:val="30"/>
          <w:szCs w:val="30"/>
          <w:highlight w:val="none"/>
          <w:lang w:eastAsia="zh-CN"/>
        </w:rPr>
        <w:t xml:space="preserve">JSZC-320311-JSKJ-G2025-0074</w:t>
      </w:r>
      <w:r/>
    </w:p>
    <w:p>
      <w:pPr>
        <w:pStyle w:val="1121"/>
        <w:ind w:left="0" w:right="0"/>
        <w:jc w:val="center"/>
        <w:keepLines w:val="0"/>
        <w:keepNext w:val="0"/>
        <w:pageBreakBefore w:val="0"/>
        <w:spacing w:beforeAutospacing="0" w:after="0" w:afterAutospacing="0" w:line="360" w:lineRule="auto"/>
        <w:rPr>
          <w:rFonts w:hint="eastAsia" w:ascii="仿宋" w:hAnsi="仿宋" w:eastAsia="仿宋" w:cs="仿宋"/>
          <w:b w:val="0"/>
          <w:bCs w:val="0"/>
          <w:color w:val="auto"/>
          <w:sz w:val="56"/>
          <w:szCs w:val="56"/>
          <w:highlight w:val="none"/>
        </w:rPr>
      </w:pPr>
      <w:r>
        <w:rPr>
          <w:rFonts w:hint="eastAsia" w:ascii="仿宋" w:hAnsi="仿宋" w:eastAsia="仿宋" w:cs="仿宋"/>
          <w:b w:val="0"/>
          <w:bCs w:val="0"/>
          <w:color w:val="auto"/>
          <w:sz w:val="56"/>
          <w:szCs w:val="56"/>
          <w:highlight w:val="none"/>
        </w:rPr>
      </w:r>
      <w:r/>
    </w:p>
    <w:p>
      <w:pPr>
        <w:pStyle w:val="1121"/>
        <w:ind w:left="0" w:right="0"/>
        <w:jc w:val="center"/>
        <w:keepLines w:val="0"/>
        <w:keepNext w:val="0"/>
        <w:pageBreakBefore w:val="0"/>
        <w:spacing w:beforeAutospacing="0" w:after="0" w:afterAutospacing="0" w:line="360" w:lineRule="auto"/>
        <w:rPr>
          <w:rFonts w:hint="eastAsia" w:ascii="仿宋" w:hAnsi="仿宋" w:eastAsia="仿宋" w:cs="仿宋"/>
          <w:b w:val="0"/>
          <w:bCs w:val="0"/>
          <w:color w:val="auto"/>
          <w:sz w:val="56"/>
          <w:szCs w:val="56"/>
          <w:highlight w:val="none"/>
        </w:rPr>
      </w:pPr>
      <w:r>
        <w:rPr>
          <w:rFonts w:hint="eastAsia" w:ascii="仿宋" w:hAnsi="仿宋" w:eastAsia="仿宋" w:cs="仿宋"/>
          <w:b w:val="0"/>
          <w:bCs w:val="0"/>
          <w:color w:val="auto"/>
          <w:sz w:val="56"/>
          <w:szCs w:val="56"/>
          <w:highlight w:val="none"/>
        </w:rPr>
        <w:t xml:space="preserve">政府采购合同</w:t>
      </w:r>
      <w:r/>
    </w:p>
    <w:p>
      <w:pPr>
        <w:pStyle w:val="884"/>
        <w:ind w:left="0" w:right="0"/>
        <w:keepLines w:val="0"/>
        <w:keepNext w:val="0"/>
        <w:pageBreakBefore w:val="0"/>
        <w:spacing w:beforeAutospacing="0" w:afterAutospacing="0"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884"/>
        <w:ind w:left="0" w:right="0"/>
        <w:keepLines w:val="0"/>
        <w:keepNext w:val="0"/>
        <w:pageBreakBefore w:val="0"/>
        <w:spacing w:beforeAutospacing="0" w:afterAutospacing="0"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884"/>
        <w:ind w:left="0" w:right="0"/>
        <w:keepLines w:val="0"/>
        <w:keepNext w:val="0"/>
        <w:pageBreakBefore w:val="0"/>
        <w:spacing w:beforeAutospacing="0" w:afterAutospacing="0"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121"/>
        <w:ind w:left="0" w:right="0"/>
        <w:keepLines w:val="0"/>
        <w:keepNext w:val="0"/>
        <w:pageBreakBefore w:val="0"/>
        <w:spacing w:beforeAutospacing="0" w:after="0" w:afterAutospacing="0" w:line="360" w:lineRule="auto"/>
        <w:rPr>
          <w:rFonts w:hint="eastAsia" w:ascii="仿宋" w:hAnsi="仿宋" w:eastAsia="仿宋" w:cs="仿宋"/>
          <w:b w:val="0"/>
          <w:bCs w:val="0"/>
          <w:color w:val="auto"/>
          <w:highlight w:val="none"/>
        </w:rPr>
      </w:pPr>
      <w:r>
        <w:rPr>
          <w:rFonts w:hint="eastAsia" w:ascii="仿宋" w:hAnsi="仿宋" w:eastAsia="仿宋" w:cs="仿宋"/>
          <w:b w:val="0"/>
          <w:bCs w:val="0"/>
          <w:color w:val="auto"/>
          <w:highlight w:val="none"/>
        </w:rPr>
      </w:r>
      <w:r/>
    </w:p>
    <w:p>
      <w:pPr>
        <w:pStyle w:val="1121"/>
        <w:ind w:left="0" w:right="0" w:firstLine="1960"/>
        <w:jc w:val="left"/>
        <w:keepLines w:val="0"/>
        <w:keepNext w:val="0"/>
        <w:pageBreakBefore w:val="0"/>
        <w:spacing w:beforeAutospacing="0" w:after="0" w:afterAutospacing="0"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lang w:val="en-US" w:eastAsia="zh-CN"/>
        </w:rPr>
        <w:t xml:space="preserve">采 购 人</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甲方</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u w:val="single"/>
          <w:lang w:val="en-US" w:eastAsia="zh-CN"/>
        </w:rPr>
        <w:t xml:space="preserve">  徐州市泉山区市场监督管理局   </w:t>
      </w:r>
      <w:r/>
    </w:p>
    <w:p>
      <w:pPr>
        <w:pStyle w:val="1121"/>
        <w:ind w:left="0" w:right="0" w:firstLine="1960"/>
        <w:jc w:val="left"/>
        <w:keepLines w:val="0"/>
        <w:keepNext w:val="0"/>
        <w:pageBreakBefore w:val="0"/>
        <w:spacing w:beforeAutospacing="0" w:after="0" w:afterAutospacing="0" w:line="360" w:lineRule="auto"/>
        <w:rPr>
          <w:rFonts w:hint="eastAsia" w:ascii="仿宋" w:hAnsi="仿宋" w:eastAsia="仿宋" w:cs="仿宋"/>
          <w:b w:val="0"/>
          <w:bCs w:val="0"/>
          <w:color w:val="auto"/>
          <w:sz w:val="28"/>
          <w:szCs w:val="28"/>
          <w:highlight w:val="none"/>
          <w:u w:val="single"/>
        </w:rPr>
      </w:pPr>
      <w:r>
        <w:rPr>
          <w:rFonts w:hint="eastAsia" w:ascii="仿宋" w:hAnsi="仿宋" w:eastAsia="仿宋" w:cs="仿宋"/>
          <w:b w:val="0"/>
          <w:bCs w:val="0"/>
          <w:color w:val="auto"/>
          <w:sz w:val="28"/>
          <w:szCs w:val="28"/>
          <w:highlight w:val="none"/>
          <w:lang w:val="en-US" w:eastAsia="zh-CN"/>
        </w:rPr>
        <w:t xml:space="preserve">中 标 人</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lang w:val="en-US" w:eastAsia="zh-CN"/>
        </w:rPr>
        <w:t xml:space="preserve">乙方</w:t>
      </w:r>
      <w:r>
        <w:rPr>
          <w:rFonts w:hint="eastAsia" w:ascii="仿宋" w:hAnsi="仿宋" w:eastAsia="仿宋" w:cs="仿宋"/>
          <w:b w:val="0"/>
          <w:bCs w:val="0"/>
          <w:color w:val="auto"/>
          <w:sz w:val="28"/>
          <w:szCs w:val="28"/>
          <w:highlight w:val="none"/>
          <w:lang w:eastAsia="zh-CN"/>
        </w:rPr>
        <w:t xml:space="preserve">）</w:t>
      </w:r>
      <w:r>
        <w:rPr>
          <w:rFonts w:hint="eastAsia" w:ascii="仿宋" w:hAnsi="仿宋" w:eastAsia="仿宋" w:cs="仿宋"/>
          <w:b w:val="0"/>
          <w:bCs w:val="0"/>
          <w:color w:val="auto"/>
          <w:sz w:val="28"/>
          <w:szCs w:val="28"/>
          <w:highlight w:val="none"/>
        </w:rPr>
        <w:t xml:space="preserve">：</w:t>
      </w:r>
      <w:r>
        <w:rPr>
          <w:rFonts w:hint="eastAsia" w:ascii="仿宋" w:hAnsi="仿宋" w:eastAsia="仿宋" w:cs="仿宋"/>
          <w:b w:val="0"/>
          <w:bCs w:val="0"/>
          <w:color w:val="auto"/>
          <w:sz w:val="28"/>
          <w:szCs w:val="28"/>
          <w:highlight w:val="none"/>
          <w:u w:val="single"/>
          <w:lang w:val="en-US" w:eastAsia="zh-CN"/>
        </w:rPr>
        <w:t xml:space="preserve">                               </w:t>
      </w:r>
      <w:r/>
    </w:p>
    <w:p>
      <w:pPr>
        <w:pStyle w:val="1121"/>
        <w:ind w:left="0" w:right="0" w:firstLine="1960"/>
        <w:jc w:val="left"/>
        <w:keepLines w:val="0"/>
        <w:keepNext w:val="0"/>
        <w:pageBreakBefore w:val="0"/>
        <w:spacing w:beforeAutospacing="0" w:after="0" w:afterAutospacing="0" w:line="360" w:lineRule="auto"/>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合同签订日期：   年   月   日</w:t>
      </w:r>
      <w:r/>
    </w:p>
    <w:p>
      <w:pPr>
        <w:pStyle w:val="883"/>
        <w:ind w:right="0"/>
        <w:keepLines w:val="0"/>
        <w:keepNext w:val="0"/>
        <w:pageBreakBefore w:val="0"/>
        <w:spacing w:beforeAutospacing="0" w:afterAutospacing="0"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r>
      <w:r/>
    </w:p>
    <w:p>
      <w:pPr>
        <w:pStyle w:val="1149"/>
        <w:rPr>
          <w:rFonts w:hint="eastAsia"/>
          <w:color w:val="auto"/>
          <w:highlight w:val="none"/>
        </w:rPr>
      </w:pPr>
      <w:r>
        <w:rPr>
          <w:rFonts w:hint="eastAsia"/>
          <w:color w:val="auto"/>
          <w:highlight w:val="none"/>
        </w:rPr>
      </w:r>
      <w:r/>
    </w:p>
    <w:p>
      <w:pPr>
        <w:pStyle w:val="883"/>
        <w:ind w:firstLine="480"/>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友情提醒：采购人与中标、成交</w:t>
      </w:r>
      <w:r>
        <w:rPr>
          <w:rFonts w:hint="eastAsia" w:ascii="仿宋" w:hAnsi="仿宋" w:eastAsia="仿宋" w:cs="仿宋"/>
          <w:b w:val="0"/>
          <w:bCs w:val="0"/>
          <w:color w:val="auto"/>
          <w:sz w:val="24"/>
          <w:szCs w:val="24"/>
          <w:highlight w:val="none"/>
          <w:lang w:eastAsia="zh-CN"/>
        </w:rPr>
        <w:t xml:space="preserve">投标人</w:t>
      </w:r>
      <w:r>
        <w:rPr>
          <w:rFonts w:hint="eastAsia" w:ascii="仿宋" w:hAnsi="仿宋" w:eastAsia="仿宋" w:cs="仿宋"/>
          <w:b w:val="0"/>
          <w:bCs w:val="0"/>
          <w:color w:val="auto"/>
          <w:sz w:val="24"/>
          <w:szCs w:val="24"/>
          <w:highlight w:val="none"/>
        </w:rPr>
        <w:t xml:space="preserve">应当在中标、成交通知书发出之日起30日内，按照采购文件确定的事项签订政府采购合同。</w:t>
      </w:r>
      <w:r/>
    </w:p>
    <w:p>
      <w:pPr>
        <w:pStyle w:val="1111"/>
        <w:ind w:left="0" w:right="0" w:firstLine="560"/>
        <w:keepLines w:val="0"/>
        <w:keepNext w:val="0"/>
        <w:pageBreakBefore w:val="0"/>
        <w:spacing w:beforeAutospacing="0" w:afterAutospacing="0" w:line="360" w:lineRule="auto"/>
        <w:rPr>
          <w:rFonts w:hint="eastAsia" w:ascii="仿宋" w:hAnsi="仿宋" w:eastAsia="仿宋" w:cs="仿宋"/>
          <w:color w:val="auto"/>
          <w:highlight w:val="none"/>
        </w:rPr>
      </w:pPr>
      <w:r>
        <w:rPr>
          <w:rFonts w:hint="eastAsia" w:ascii="仿宋" w:hAnsi="仿宋" w:eastAsia="仿宋" w:cs="仿宋"/>
          <w:b w:val="0"/>
          <w:bCs w:val="0"/>
          <w:color w:val="auto"/>
          <w:sz w:val="24"/>
          <w:szCs w:val="24"/>
          <w:highlight w:val="none"/>
        </w:rPr>
        <w:t xml:space="preserve">采购人应当自政府采购合同签订之日起2个</w:t>
      </w:r>
      <w:r>
        <w:rPr>
          <w:rFonts w:hint="eastAsia" w:ascii="仿宋" w:hAnsi="仿宋" w:eastAsia="仿宋" w:cs="仿宋"/>
          <w:b w:val="0"/>
          <w:bCs/>
          <w:color w:val="auto"/>
          <w:sz w:val="24"/>
          <w:szCs w:val="24"/>
          <w:highlight w:val="none"/>
        </w:rPr>
        <w:t xml:space="preserve">工作日内，将政府采购合同在省级以上人民政府财政部门指定的媒体上公告，但政府采购合同中涉及国家秘密、商业秘密的内容除外。</w:t>
      </w:r>
      <w:r/>
    </w:p>
    <w:p>
      <w:pPr>
        <w:ind w:left="0" w:right="0"/>
        <w:keepLines w:val="0"/>
        <w:keepNext w:val="0"/>
        <w:pageBreakBefore w:val="0"/>
        <w:spacing w:beforeAutospacing="0" w:afterAutospacing="0"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1111"/>
        <w:ind w:left="0" w:right="0" w:firstLine="482"/>
        <w:keepLines w:val="0"/>
        <w:keepNext w:val="0"/>
        <w:pageBreakBefore w:val="0"/>
        <w:spacing w:beforeAutospacing="0" w:afterAutospacing="0" w:line="360" w:lineRule="auto"/>
        <w:rPr>
          <w:rStyle w:val="1116"/>
          <w:rFonts w:hint="eastAsia" w:ascii="仿宋" w:hAnsi="仿宋" w:eastAsia="仿宋" w:cs="仿宋"/>
          <w:b/>
          <w:color w:val="auto"/>
          <w:sz w:val="24"/>
          <w:szCs w:val="24"/>
          <w:highlight w:val="none"/>
        </w:rPr>
      </w:pPr>
      <w:r>
        <w:rPr>
          <w:rStyle w:val="1116"/>
          <w:rFonts w:hint="eastAsia" w:ascii="仿宋" w:hAnsi="仿宋" w:eastAsia="仿宋" w:cs="仿宋"/>
          <w:b/>
          <w:color w:val="auto"/>
          <w:sz w:val="24"/>
          <w:szCs w:val="24"/>
          <w:highlight w:val="none"/>
        </w:rPr>
        <w:t xml:space="preserve">特别提醒：</w:t>
      </w:r>
      <w:r/>
    </w:p>
    <w:p>
      <w:pPr>
        <w:pStyle w:val="883"/>
        <w:ind w:firstLine="480"/>
        <w:spacing w:line="360" w:lineRule="auto"/>
        <w:rPr>
          <w:rFonts w:hint="eastAsia" w:ascii="宋体" w:hAnsi="宋体" w:cs="宋体"/>
          <w:b/>
          <w:bCs/>
          <w:color w:val="auto"/>
          <w:sz w:val="32"/>
          <w:szCs w:val="32"/>
          <w:highlight w:val="none"/>
        </w:rPr>
        <w:sectPr>
          <w:headerReference w:type="default" r:id="rId11"/>
          <w:footerReference w:type="default" r:id="rId14"/>
          <w:footnotePr/>
          <w:endnotePr/>
          <w:type w:val="nextPage"/>
          <w:pgSz w:w="11906" w:h="16838" w:orient="portrait"/>
          <w:pgMar w:top="1440" w:right="1080" w:bottom="1440" w:left="1080" w:header="851" w:footer="992" w:gutter="0"/>
          <w:cols w:num="1" w:sep="0" w:space="1701" w:equalWidth="1"/>
          <w:docGrid w:linePitch="360"/>
        </w:sectPr>
      </w:pPr>
      <w:r>
        <w:rPr>
          <w:rFonts w:hint="eastAsia" w:ascii="仿宋" w:hAnsi="仿宋" w:eastAsia="仿宋" w:cs="仿宋"/>
          <w:color w:val="auto"/>
          <w:sz w:val="24"/>
          <w:highlight w:val="none"/>
        </w:rPr>
        <w:t xml:space="preserve">中标人领取中标通知书时须向代理机构提交纸质胶装投标文件一正四副，</w:t>
      </w:r>
      <w:r>
        <w:rPr>
          <w:rFonts w:hint="eastAsia" w:ascii="仿宋" w:hAnsi="仿宋" w:eastAsia="仿宋" w:cs="仿宋"/>
          <w:color w:val="auto"/>
          <w:sz w:val="24"/>
          <w:highlight w:val="none"/>
          <w:lang w:val="en-US" w:eastAsia="zh-CN"/>
        </w:rPr>
        <w:t xml:space="preserve">电子版投标文件二份（U盘）</w:t>
      </w:r>
      <w:bookmarkEnd w:id="8"/>
      <w:r/>
      <w:r/>
    </w:p>
    <w:p>
      <w:pPr>
        <w:pStyle w:val="880"/>
        <w:jc w:val="left"/>
        <w:spacing w:line="360" w:lineRule="auto"/>
        <w:rPr>
          <w:rFonts w:ascii="宋体" w:hAnsi="宋体"/>
          <w:bCs/>
          <w:color w:val="auto"/>
          <w:sz w:val="24"/>
          <w:highlight w:val="none"/>
        </w:rPr>
      </w:pPr>
      <w:r>
        <w:rPr>
          <w:rFonts w:ascii="宋体" w:hAnsi="宋体"/>
          <w:bCs/>
          <w:color w:val="auto"/>
          <w:sz w:val="24"/>
          <w:highlight w:val="none"/>
        </w:rPr>
      </w:r>
      <w:r/>
    </w:p>
    <w:p>
      <w:pPr>
        <w:jc w:val="center"/>
        <w:spacing w:before="120" w:line="360" w:lineRule="auto"/>
        <w:rPr>
          <w:rFonts w:ascii="宋体" w:hAnsi="宋体"/>
          <w:b/>
          <w:color w:val="auto"/>
          <w:sz w:val="32"/>
          <w:szCs w:val="32"/>
          <w:highlight w:val="none"/>
        </w:rPr>
      </w:pPr>
      <w:r>
        <w:rPr>
          <w:rFonts w:hint="eastAsia" w:ascii="宋体" w:hAnsi="宋体"/>
          <w:b/>
          <w:color w:val="auto"/>
          <w:sz w:val="32"/>
          <w:szCs w:val="32"/>
          <w:highlight w:val="none"/>
          <w:lang w:eastAsia="zh-CN"/>
        </w:rPr>
        <w:t xml:space="preserve">2025年工业产品质量区级监督抽查抽样检验机构技术服务</w:t>
      </w:r>
      <w:r>
        <w:rPr>
          <w:rFonts w:hint="eastAsia" w:ascii="宋体" w:hAnsi="宋体"/>
          <w:b/>
          <w:color w:val="auto"/>
          <w:sz w:val="32"/>
          <w:szCs w:val="32"/>
          <w:highlight w:val="none"/>
        </w:rPr>
        <w:t xml:space="preserve">合同</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甲方：</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根据《中华人民共和国民法典》、《中华人民共和国政府采购法》及有关法律、法规，在自愿、平等、协商一致的基础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根据</w:t>
      </w:r>
      <w:r>
        <w:rPr>
          <w:rFonts w:hint="eastAsia" w:ascii="宋体" w:hAnsi="宋体"/>
          <w:color w:val="auto"/>
          <w:sz w:val="24"/>
          <w:szCs w:val="20"/>
          <w:highlight w:val="none"/>
          <w:u w:val="single"/>
          <w:lang w:eastAsia="zh-CN"/>
        </w:rPr>
        <w:t xml:space="preserve">2025年工业产品质量区级监督抽查抽样检验机构技术服务</w:t>
      </w:r>
      <w:r>
        <w:rPr>
          <w:rFonts w:hint="eastAsia" w:ascii="宋体" w:hAnsi="宋体" w:cs="宋体"/>
          <w:color w:val="auto"/>
          <w:sz w:val="24"/>
          <w:szCs w:val="24"/>
          <w:highlight w:val="none"/>
        </w:rPr>
        <w:t xml:space="preserve">项目公开招标的结果，</w:t>
      </w:r>
      <w:r>
        <w:rPr>
          <w:rFonts w:hint="eastAsia" w:ascii="宋体" w:hAnsi="宋体" w:cs="宋体"/>
          <w:color w:val="auto"/>
          <w:sz w:val="24"/>
          <w:szCs w:val="24"/>
          <w:highlight w:val="none"/>
          <w:lang w:val="en-US" w:eastAsia="zh-CN"/>
        </w:rPr>
        <w:t xml:space="preserve">甲乙双方本着诚实信用、平等互利的原则，就</w:t>
      </w:r>
      <w:r>
        <w:rPr>
          <w:rFonts w:hint="eastAsia" w:ascii="宋体" w:hAnsi="宋体" w:cs="宋体"/>
          <w:color w:val="auto"/>
          <w:sz w:val="24"/>
          <w:szCs w:val="24"/>
          <w:highlight w:val="none"/>
          <w:u w:val="single"/>
          <w:lang w:val="en-US" w:eastAsia="zh-CN"/>
        </w:rPr>
        <w:t xml:space="preserve">2025年工业产品质量区级监督抽查抽样检验机构技术服务</w:t>
      </w:r>
      <w:r>
        <w:rPr>
          <w:rFonts w:hint="eastAsia" w:ascii="宋体" w:hAnsi="宋体" w:cs="宋体"/>
          <w:color w:val="auto"/>
          <w:sz w:val="24"/>
          <w:szCs w:val="24"/>
          <w:highlight w:val="none"/>
          <w:lang w:val="en-US" w:eastAsia="zh-CN"/>
        </w:rPr>
        <w:t xml:space="preserve">事宜，签订本合同。</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一、</w:t>
      </w:r>
      <w:r>
        <w:rPr>
          <w:rFonts w:hint="eastAsia" w:ascii="宋体" w:hAnsi="宋体" w:cs="宋体"/>
          <w:b/>
          <w:bCs/>
          <w:color w:val="auto"/>
          <w:sz w:val="24"/>
          <w:szCs w:val="24"/>
          <w:highlight w:val="none"/>
          <w:lang w:val="en-US" w:eastAsia="zh-CN"/>
        </w:rPr>
        <w:t xml:space="preserve">项目概况</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1、项目</w:t>
      </w:r>
      <w:r>
        <w:rPr>
          <w:rFonts w:hint="eastAsia" w:ascii="宋体" w:hAnsi="宋体" w:cs="宋体"/>
          <w:b/>
          <w:bCs/>
          <w:color w:val="auto"/>
          <w:sz w:val="24"/>
          <w:szCs w:val="24"/>
          <w:highlight w:val="none"/>
        </w:rPr>
        <w:t xml:space="preserve">名称：</w:t>
      </w:r>
      <w:r/>
    </w:p>
    <w:p>
      <w:p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服务期限：</w:t>
      </w:r>
      <w:r>
        <w:rPr>
          <w:rFonts w:hint="eastAsia" w:ascii="宋体" w:hAnsi="宋体" w:cs="宋体"/>
          <w:b/>
          <w:bCs/>
          <w:color w:val="auto"/>
          <w:sz w:val="24"/>
          <w:szCs w:val="24"/>
          <w:highlight w:val="none"/>
          <w:lang w:val="en-US" w:eastAsia="zh-CN"/>
        </w:rPr>
        <w:t xml:space="preserve">自合同签订之日起至2026年12月31日止，若甲方另有要求，按照甲方要求执行。</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服务质量：</w:t>
      </w:r>
      <w:r>
        <w:rPr>
          <w:rFonts w:hint="eastAsia" w:ascii="宋体" w:hAnsi="宋体" w:cs="宋体"/>
          <w:b/>
          <w:bCs/>
          <w:color w:val="auto"/>
          <w:sz w:val="24"/>
          <w:szCs w:val="24"/>
          <w:highlight w:val="none"/>
          <w:lang w:val="en-US" w:eastAsia="zh-CN"/>
        </w:rPr>
        <w:t xml:space="preserve">合格</w:t>
      </w:r>
      <w:r>
        <w:rPr>
          <w:rFonts w:hint="eastAsia" w:ascii="宋体" w:hAnsi="宋体" w:cs="宋体"/>
          <w:b/>
          <w:bCs/>
          <w:color w:val="auto"/>
          <w:sz w:val="24"/>
          <w:szCs w:val="24"/>
          <w:highlight w:val="none"/>
        </w:rPr>
        <w:t xml:space="preserve">。              </w:t>
      </w:r>
      <w:r/>
    </w:p>
    <w:p>
      <w:pPr>
        <w:ind w:firstLine="482"/>
        <w:spacing w:line="360" w:lineRule="auto"/>
        <w:rPr>
          <w:rFonts w:ascii="宋体" w:hAnsi="宋体" w:cs="宋体"/>
          <w:color w:val="auto"/>
          <w:sz w:val="24"/>
          <w:szCs w:val="24"/>
          <w:highlight w:val="none"/>
        </w:rPr>
      </w:pP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服务范围及内容：乙方根据甲方需求，提供下列服务：</w:t>
      </w: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抽检品种：</w:t>
      </w:r>
      <w:r>
        <w:rPr>
          <w:rFonts w:hint="eastAsia" w:ascii="宋体" w:hAnsi="宋体" w:cs="宋体"/>
          <w:color w:val="auto"/>
          <w:sz w:val="24"/>
          <w:szCs w:val="24"/>
          <w:highlight w:val="none"/>
          <w:u w:val="single"/>
          <w:lang w:val="en-US" w:eastAsia="zh-CN"/>
        </w:rPr>
        <w:t xml:space="preserve">见招标文件《采购需求》及乙方投标文件</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检测批次：</w:t>
      </w:r>
      <w:r>
        <w:rPr>
          <w:rFonts w:hint="eastAsia" w:ascii="宋体" w:hAnsi="宋体" w:cs="宋体"/>
          <w:color w:val="auto"/>
          <w:sz w:val="24"/>
          <w:szCs w:val="24"/>
          <w:highlight w:val="none"/>
          <w:u w:val="single"/>
          <w:lang w:val="en-US" w:eastAsia="zh-CN"/>
        </w:rPr>
        <w:t xml:space="preserve">     </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4.3 合同履行期限：自合同签订之日起至2026年12月31日止，若采购人另有要求，按照采购人要求执行。</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二、合同价及结算方式：</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1、合同总价人民币大写：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u w:val="none"/>
        </w:rPr>
        <w:t xml:space="preserve">￥</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none"/>
        </w:rPr>
        <w:t xml:space="preserve"> </w:t>
      </w:r>
      <w:r>
        <w:rPr>
          <w:rFonts w:hint="eastAsia" w:ascii="宋体" w:hAnsi="宋体" w:cs="宋体"/>
          <w:color w:val="auto"/>
          <w:sz w:val="24"/>
          <w:szCs w:val="24"/>
          <w:highlight w:val="none"/>
          <w:u w:val="none"/>
          <w:lang w:eastAsia="zh-CN"/>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单价</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元/批次。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2、付款方式：</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（一）提交预付款保函的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（1）合同总价的百分之三十(30%)即￥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，在双方签订合同，</w:t>
      </w:r>
      <w:r>
        <w:rPr>
          <w:rFonts w:hint="eastAsia" w:ascii="宋体" w:hAnsi="宋体" w:cs="宋体"/>
          <w:bCs/>
          <w:color w:val="auto"/>
          <w:sz w:val="24"/>
          <w:szCs w:val="24"/>
          <w:highlight w:val="none"/>
        </w:rPr>
        <w:t xml:space="preserve">且乙方出具等额预付款保函</w:t>
      </w:r>
      <w:r>
        <w:rPr>
          <w:rFonts w:hint="eastAsia" w:ascii="宋体" w:hAnsi="宋体" w:cs="宋体"/>
          <w:color w:val="auto"/>
          <w:sz w:val="24"/>
          <w:szCs w:val="24"/>
          <w:highlight w:val="none"/>
        </w:rPr>
        <w:t xml:space="preserve">后7个工作日内，甲方办理政府采购资金结算手续支付给乙方。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履约完成</w:t>
      </w:r>
      <w:r>
        <w:rPr>
          <w:rFonts w:hint="eastAsia" w:ascii="宋体" w:hAnsi="宋体" w:cs="宋体"/>
          <w:color w:val="auto"/>
          <w:sz w:val="24"/>
          <w:szCs w:val="24"/>
          <w:highlight w:val="none"/>
        </w:rPr>
        <w:t xml:space="preserve">通过验收后，甲方向乙方支付</w:t>
      </w:r>
      <w:r>
        <w:rPr>
          <w:rFonts w:hint="eastAsia" w:ascii="宋体" w:hAnsi="宋体" w:cs="宋体"/>
          <w:color w:val="auto"/>
          <w:sz w:val="24"/>
          <w:szCs w:val="24"/>
          <w:highlight w:val="none"/>
          <w:lang w:val="en-US" w:eastAsia="zh-CN"/>
        </w:rPr>
        <w:t xml:space="preserve">至</w:t>
      </w:r>
      <w:r>
        <w:rPr>
          <w:rFonts w:hint="eastAsia" w:ascii="宋体" w:hAnsi="宋体" w:cs="宋体"/>
          <w:color w:val="auto"/>
          <w:sz w:val="24"/>
          <w:szCs w:val="24"/>
          <w:highlight w:val="none"/>
        </w:rPr>
        <w:t xml:space="preserve">合同额的</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0%。</w:t>
      </w:r>
      <w:r/>
    </w:p>
    <w:p>
      <w:pPr>
        <w:ind w:firstLine="480"/>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（二）不提交预付款保函的</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（1）合同总价的百分之十(10%)即￥</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元，人民币大写：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，在双方签订合同后7个工作日内，甲方办理政府采购资金结算手续支付给乙方。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履约完成</w:t>
      </w:r>
      <w:r>
        <w:rPr>
          <w:rFonts w:hint="eastAsia" w:ascii="宋体" w:hAnsi="宋体" w:cs="宋体"/>
          <w:color w:val="auto"/>
          <w:sz w:val="24"/>
          <w:szCs w:val="24"/>
          <w:highlight w:val="none"/>
        </w:rPr>
        <w:t xml:space="preserve">通过验收后，甲方向乙方支付</w:t>
      </w:r>
      <w:r>
        <w:rPr>
          <w:rFonts w:hint="eastAsia" w:ascii="宋体" w:hAnsi="宋体" w:cs="宋体"/>
          <w:color w:val="auto"/>
          <w:sz w:val="24"/>
          <w:szCs w:val="24"/>
          <w:highlight w:val="none"/>
          <w:lang w:val="en-US" w:eastAsia="zh-CN"/>
        </w:rPr>
        <w:t xml:space="preserve">至</w:t>
      </w:r>
      <w:r>
        <w:rPr>
          <w:rFonts w:hint="eastAsia" w:ascii="宋体" w:hAnsi="宋体" w:cs="宋体"/>
          <w:color w:val="auto"/>
          <w:sz w:val="24"/>
          <w:szCs w:val="24"/>
          <w:highlight w:val="none"/>
        </w:rPr>
        <w:t xml:space="preserve">合同额的</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0%。</w:t>
      </w:r>
      <w:r/>
    </w:p>
    <w:p>
      <w:pPr>
        <w:pStyle w:val="883"/>
        <w:ind w:firstLine="480"/>
        <w:jc w:val="left"/>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本合同价款包含所有乙方提供合同约定的服务内容的</w:t>
      </w:r>
      <w:r>
        <w:rPr>
          <w:rFonts w:hint="eastAsia" w:ascii="宋体" w:hAnsi="宋体" w:cs="宋体"/>
          <w:color w:val="auto"/>
          <w:sz w:val="24"/>
          <w:szCs w:val="24"/>
          <w:highlight w:val="none"/>
          <w:lang w:val="en-US" w:eastAsia="zh-CN"/>
        </w:rPr>
        <w:t xml:space="preserve">全部</w:t>
      </w:r>
      <w:r>
        <w:rPr>
          <w:rFonts w:hint="eastAsia" w:ascii="宋体" w:hAnsi="宋体" w:cs="宋体"/>
          <w:color w:val="auto"/>
          <w:sz w:val="24"/>
          <w:szCs w:val="24"/>
          <w:highlight w:val="none"/>
        </w:rPr>
        <w:t xml:space="preserve">费用，甲方在上述合同价款之外不再向乙方支付其他任何费用。</w:t>
      </w:r>
      <w:r/>
    </w:p>
    <w:p>
      <w:pPr>
        <w:pStyle w:val="883"/>
        <w:ind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乙方需提交的支付文件包括：</w:t>
      </w:r>
      <w:r/>
    </w:p>
    <w:p>
      <w:pPr>
        <w:pStyle w:val="883"/>
        <w:ind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乙方出具的正式发票；</w:t>
      </w:r>
      <w:r/>
    </w:p>
    <w:p>
      <w:pPr>
        <w:pStyle w:val="883"/>
        <w:ind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乙方约定的收款账户：</w:t>
      </w:r>
      <w:r/>
    </w:p>
    <w:p>
      <w:pPr>
        <w:pStyle w:val="883"/>
        <w:ind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w:t>
      </w:r>
      <w:r/>
    </w:p>
    <w:p>
      <w:pPr>
        <w:pStyle w:val="883"/>
        <w:ind w:firstLine="48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帐    号：</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3、在招标文件未列明，而乙方履行本合同必需的费用也包含在合同总价中。</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4、本合同总价还包含乙方提供的伴随服务售后服务费用。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5、本合同签订后：甲方需追加与合同标的相同的服务，在不改变合同其他条款的前提下，可以与乙方协商签订补充合同，但所有补充合同的增加的金额不超过原合同金额的10%；甲方若由于各种客观原因，必须对采购项目所牵涉的服务进行适当的减少时，在与乙方协商一致后，可以按照采购时的价格水平做相应的调减，并据此签订补充合同；除上述情况外，本合同执行期间合同总价不变。</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三、质量要求</w:t>
      </w:r>
      <w:r/>
    </w:p>
    <w:p>
      <w:pPr>
        <w:ind w:firstLine="482"/>
        <w:spacing w:line="360" w:lineRule="auto"/>
        <w:rPr>
          <w:rFonts w:hint="eastAsia" w:ascii="宋体" w:hAnsi="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质量要求：</w:t>
      </w:r>
      <w:r>
        <w:rPr>
          <w:rFonts w:hint="eastAsia" w:ascii="宋体" w:hAnsi="宋体" w:cs="宋体"/>
          <w:color w:val="auto"/>
          <w:sz w:val="24"/>
          <w:szCs w:val="24"/>
          <w:highlight w:val="none"/>
          <w:u w:val="none"/>
        </w:rPr>
        <w:t xml:space="preserve">具体见招标文件及乙方投标文件[项目编号：     ]。</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甲方在合同履行期间，有权依照采购文件相关要求对乙方提供的相关服务或交付的工作成果进行阶段性验收或总体验收。相关验收工作须在甲方工作日时间内进行。</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经验收不合格的，经甲乙双方协商确认一个合理期限，乙方应当在期限内进行整改和完善，直至符合采购文件要求的相关标准。</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四、组成本合同的有关文件</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1、乙方应按招标文件规定的时间向甲方提供服务的有关技术资料。</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2、没有经甲方书面同意，乙方不得将由甲方提供的有关合同或任何合同条文或资料提供给任何其他人。即使向履行本合同有关的人员提供，也应注意保密并限于履行合同的必需范围。</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3、关于本项目招标文件、投标文件或与本次采购活动方式相适应的文件及有关附件是本合同不可分割的组成部分，这些文件包括但不限于：</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（1）招标文件；（2）投标文件；（3）项目组人员表；（4）中标（成交）通知书；（5）甲乙双方补充协议；</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五、甲乙双方的权利和义务：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1、甲方权利和义务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1.1甲方负责对项目实施过程的全过程监督，审核乙方制定的项目计划安排，对实施进度和质量等方面进行监督和指导，按照合同约定所完成工作内容根据合同规定予以确认。</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1.2甲方协助乙方提供项目所需的信息、数据、资料。</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1.3甲方帮助协调和落实与本合同相关的政府部门有关工作，帮助乙方解决服务过程中的有关困难和问题，保障项目顺利进行。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1.4甲方负责审核确认乙方提交的支付申请并按合同约定向乙方支付款项。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2、乙方权利和义务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2.1 乙方应按照本合同要求提供服务。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2.2 乙方接受甲方对项目的全过程监督，保证服务符合招标文件约定的要求。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2.3 乙方应妥善使用甲方提供的资源，并及时向甲方反馈服务过程中发现的问题。</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 乙方保证其对为履行本合同交付的工作成果、使用的技术手段或提供的服务内容涉及的各方面均享有完全的法律权利或获得充分的授权。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乙方因自身的权利瑕疵或侵权行为使得本合同履行侵犯任何第三方合法权益的，均由乙方承担相关责任。</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2.6</w:t>
      </w:r>
      <w:r>
        <w:rPr>
          <w:rFonts w:hint="eastAsia" w:ascii="宋体" w:hAnsi="宋体" w:cs="宋体"/>
          <w:color w:val="auto"/>
          <w:sz w:val="24"/>
          <w:szCs w:val="24"/>
          <w:highlight w:val="none"/>
        </w:rPr>
        <w:t xml:space="preserve">乙方需加强安全操作，如发生安全责任事故，由乙方全权负责。</w:t>
      </w:r>
      <w:r/>
    </w:p>
    <w:p>
      <w:pPr>
        <w:ind w:left="479" w:firstLine="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2.7</w:t>
      </w:r>
      <w:r>
        <w:rPr>
          <w:rFonts w:hint="eastAsia" w:ascii="宋体" w:hAnsi="宋体" w:cs="宋体"/>
          <w:color w:val="auto"/>
          <w:sz w:val="24"/>
          <w:szCs w:val="24"/>
          <w:highlight w:val="none"/>
        </w:rPr>
        <w:t xml:space="preserve">乙方在履行合同中产生的一切非因甲方过错导致的损失，均由乙方自行承担责任。</w:t>
      </w:r>
      <w:r>
        <w:rPr>
          <w:rFonts w:hint="eastAsia" w:ascii="宋体" w:hAnsi="宋体" w:cs="宋体"/>
          <w:color w:val="auto"/>
          <w:sz w:val="24"/>
          <w:szCs w:val="24"/>
          <w:highlight w:val="none"/>
          <w:lang w:val="en-US" w:eastAsia="zh-CN"/>
        </w:rPr>
        <w:t xml:space="preserve">2.8乙方应指定专人姓名</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联系电话：</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作为本合同履行期间双方之间的联络人。</w:t>
      </w:r>
      <w:r/>
    </w:p>
    <w:p>
      <w:pPr>
        <w:ind w:left="479" w:firstLine="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2.9乙方不得将在履行本合同过程中知悉的甲方任何信息随意泄露、擅自使用。</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六、伴随服务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1、乙方应按照国家有关规定和合同中所附的服务承诺提供服务。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2、除根据合同规定乙方承担抽检服务，如采样、运输、检测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及专家认证</w:t>
      </w:r>
      <w:r>
        <w:rPr>
          <w:rFonts w:hint="eastAsia" w:ascii="宋体" w:hAnsi="宋体" w:cs="宋体"/>
          <w:color w:val="auto"/>
          <w:sz w:val="24"/>
          <w:szCs w:val="24"/>
          <w:highlight w:val="none"/>
        </w:rPr>
        <w:t xml:space="preserve">等，以及其它的伴随服务，比如技术支持、培训和其他类似的乙方应承担的义务。乙方还应提供下列服务：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（1）对检测提供必要的技术支持；</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（2）对甲方提供必要的学习培训；</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3、伴随服务的费用应含在合同价中，不单独进行支付。</w:t>
      </w:r>
      <w:r/>
    </w:p>
    <w:p>
      <w:pPr>
        <w:spacing w:line="360" w:lineRule="auto"/>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rPr>
        <w:t xml:space="preserve">七、</w:t>
      </w:r>
      <w:r>
        <w:rPr>
          <w:rFonts w:hint="eastAsia" w:ascii="宋体" w:hAnsi="宋体" w:cs="宋体"/>
          <w:b/>
          <w:bCs/>
          <w:color w:val="auto"/>
          <w:sz w:val="24"/>
          <w:szCs w:val="24"/>
          <w:highlight w:val="none"/>
          <w:lang w:val="en-US" w:eastAsia="zh-CN"/>
        </w:rPr>
        <w:t xml:space="preserve">服务要求</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1、乙方派遣</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名专业人员在甲方驻点</w:t>
      </w:r>
      <w:r>
        <w:rPr>
          <w:rFonts w:hint="eastAsia" w:ascii="宋体" w:hAnsi="宋体" w:cs="宋体"/>
          <w:color w:val="auto"/>
          <w:sz w:val="24"/>
          <w:szCs w:val="24"/>
          <w:highlight w:val="none"/>
          <w:lang w:val="en-US" w:eastAsia="zh-CN"/>
        </w:rPr>
        <w:t xml:space="preserve">服务</w:t>
      </w:r>
      <w:r>
        <w:rPr>
          <w:rFonts w:hint="eastAsia" w:ascii="宋体" w:hAnsi="宋体" w:cs="宋体"/>
          <w:color w:val="auto"/>
          <w:sz w:val="24"/>
          <w:szCs w:val="24"/>
          <w:highlight w:val="none"/>
        </w:rPr>
        <w:t xml:space="preserve">，作息制度与甲方同步，按甲方抽检计划完成抽检工作。</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2、对甲方的日常工作提供技术服务</w:t>
      </w:r>
      <w:r>
        <w:rPr>
          <w:rFonts w:hint="eastAsia" w:ascii="宋体" w:hAnsi="宋体" w:cs="宋体"/>
          <w:color w:val="auto"/>
          <w:sz w:val="24"/>
          <w:szCs w:val="24"/>
          <w:highlight w:val="none"/>
          <w:lang w:val="en-US" w:eastAsia="zh-CN"/>
        </w:rPr>
        <w:t xml:space="preserve">支持</w:t>
      </w:r>
      <w:r>
        <w:rPr>
          <w:rFonts w:hint="eastAsia" w:ascii="宋体" w:hAnsi="宋体" w:cs="宋体"/>
          <w:color w:val="auto"/>
          <w:sz w:val="24"/>
          <w:szCs w:val="24"/>
          <w:highlight w:val="none"/>
        </w:rPr>
        <w:t xml:space="preserve">，并协助完成相关专业技术工作。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3、为应对突发性紧急事件、上级安排的专项检查任务等，对监督抽查计划表内以外的产品进行抽检。具体的抽检产品和批次数根据实际工作</w:t>
      </w:r>
      <w:r>
        <w:rPr>
          <w:rFonts w:hint="eastAsia" w:ascii="宋体" w:hAnsi="宋体" w:cs="宋体"/>
          <w:color w:val="auto"/>
          <w:sz w:val="24"/>
          <w:szCs w:val="24"/>
          <w:highlight w:val="none"/>
          <w:lang w:val="en-US" w:eastAsia="zh-CN"/>
        </w:rPr>
        <w:t xml:space="preserve">调整。抽查产品的检验项目、检验依据等按甲方要求实施。</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 4、乙方应配合甲方开展复检工作，复检结果为最终结果。复检结果与初检结果不一致时，复检费用由乙方承担；若复检结果与初检结果一致，复检费用由复检申请人承担。</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八、误期赔偿：</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1、按照计划安排，所有取样工作均在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前完成，因甲方原因造成取样延迟的，不得追究乙方责任；因乙方原因造成取样延迟的，乙方应当按每批次50元/天支付赔偿金。取样完成后，乙方应及时进行检验，并在二十个工作日内出具检验结论，并保证检验结果准确。超过20个工作日未完成的，乙方应当按每批次50元/天支付赔偿金。但误期赔偿费的最高限额为误期服务合同价的5%。一旦达到误期赔偿的最高限额，甲方有权终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2、乙方的工作未达到本次招标文件要求的 （例如：服务响应时间超过招标文件规定时间要求的），甲方有权要求乙方进行整改，如整改后仍达不到要求的甲方有权要求立即终止合同，并有权追究其违约责任，违约金为合同价的20%。</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九、违约终止合同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1、在甲方对乙方违约而采取的任何补救措施不受影响的情况下，甲方可向乙方发出终止部分或全部合同的书面通知书。</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(1)如果乙方未能按合同规定的期限或甲方同意延长的限期内提供部分或全部服务；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(2)乙方在收到甲方发出的违约通知后20天内，或经甲方书面认可延长的时间内未能纠正其过失；</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 乙方不得将检验任务外包或分包给其他检测机构检验，一经发现，立即取消承检资格；</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(4)如果乙方未能履行合同规定的其他义务。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乙方出现违约行为的，甲方可单方面中止采购，两年内不予委托；出现违法违规行为的，依法追究乙方和相关责任人的法律责任。 </w:t>
      </w:r>
      <w:r/>
    </w:p>
    <w:p>
      <w:pPr>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十、其他</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1、本合同经甲乙双方签字并加盖公章或合同专用章后生效，本项目相关的招标文件、投标文件为本合同的一部分。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2、合同执行期间，双方当事人不得擅自变更、中止或者终止合同。</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3、合同一式</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份，具有同等法律效力，甲方</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份，乙方</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rPr>
        <w:t xml:space="preserve">份，代理公司</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rPr>
        <w:t xml:space="preserve">份备案。</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十一、组成本合同的文件包括</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1.采购文件和乙方的响应文件；</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.成交通知书</w:t>
      </w:r>
      <w:r>
        <w:rPr>
          <w:rFonts w:hint="eastAsia" w:ascii="宋体" w:hAnsi="宋体" w:cs="宋体"/>
          <w:color w:val="auto"/>
          <w:sz w:val="24"/>
          <w:szCs w:val="24"/>
          <w:highlight w:val="none"/>
          <w:lang w:eastAsia="zh-CN"/>
        </w:rPr>
        <w:t xml:space="preserve">。</w:t>
      </w:r>
      <w:r/>
    </w:p>
    <w:p>
      <w:pPr>
        <w:jc w:val="center"/>
        <w:spacing w:line="312" w:lineRule="auto"/>
        <w:rPr>
          <w:rStyle w:val="1116"/>
          <w:rFonts w:hint="eastAsia" w:ascii="宋体" w:hAnsi="宋体" w:cs="宋体"/>
          <w:b/>
          <w:bCs/>
          <w:color w:val="auto"/>
          <w:spacing w:val="6"/>
          <w:highlight w:val="none"/>
        </w:rPr>
      </w:pPr>
      <w:r>
        <w:rPr>
          <w:rFonts w:hint="eastAsia" w:ascii="宋体" w:hAnsi="宋体" w:cs="宋体"/>
          <w:b/>
          <w:bCs/>
          <w:color w:val="auto"/>
          <w:spacing w:val="6"/>
          <w:highlight w:val="none"/>
        </w:rPr>
      </w:r>
      <w:r/>
    </w:p>
    <w:p>
      <w:pPr>
        <w:jc w:val="center"/>
        <w:spacing w:line="312" w:lineRule="auto"/>
        <w:rPr>
          <w:rStyle w:val="1116"/>
          <w:rFonts w:ascii="宋体" w:hAnsi="宋体" w:cs="宋体"/>
          <w:b/>
          <w:bCs/>
          <w:color w:val="auto"/>
          <w:spacing w:val="6"/>
          <w:highlight w:val="none"/>
        </w:rPr>
      </w:pPr>
      <w:r>
        <w:rPr>
          <w:rStyle w:val="1116"/>
          <w:rFonts w:hint="eastAsia" w:ascii="宋体" w:hAnsi="宋体" w:cs="宋体"/>
          <w:b/>
          <w:bCs/>
          <w:color w:val="auto"/>
          <w:spacing w:val="6"/>
          <w:highlight w:val="none"/>
        </w:rPr>
        <w:t xml:space="preserve">以下无正文</w:t>
      </w:r>
      <w:r/>
    </w:p>
    <w:p>
      <w:pPr>
        <w:jc w:val="both"/>
        <w:spacing w:line="312" w:lineRule="auto"/>
        <w:rPr>
          <w:rStyle w:val="1116"/>
          <w:rFonts w:hint="eastAsia" w:ascii="宋体" w:hAnsi="宋体" w:cs="宋体"/>
          <w:color w:val="auto"/>
          <w:spacing w:val="6"/>
          <w:highlight w:val="none"/>
        </w:rPr>
      </w:pPr>
      <w:r>
        <w:rPr>
          <w:rFonts w:hint="eastAsia" w:ascii="宋体" w:hAnsi="宋体" w:cs="宋体"/>
          <w:color w:val="auto"/>
          <w:spacing w:val="6"/>
          <w:highlight w:val="none"/>
        </w:rPr>
      </w:r>
      <w:r/>
    </w:p>
    <w:p>
      <w:pPr>
        <w:jc w:val="center"/>
        <w:spacing w:line="312" w:lineRule="auto"/>
        <w:rPr>
          <w:rStyle w:val="1116"/>
          <w:rFonts w:hint="eastAsia" w:ascii="宋体" w:hAnsi="宋体" w:cs="宋体"/>
          <w:color w:val="auto"/>
          <w:spacing w:val="6"/>
          <w:highlight w:val="none"/>
        </w:rPr>
      </w:pPr>
      <w:r>
        <w:rPr>
          <w:rFonts w:hint="eastAsia" w:ascii="宋体" w:hAnsi="宋体" w:cs="宋体"/>
          <w:color w:val="auto"/>
          <w:spacing w:val="6"/>
          <w:highlight w:val="none"/>
        </w:rPr>
      </w:r>
      <w:r/>
    </w:p>
    <w:p>
      <w:pPr>
        <w:jc w:val="center"/>
        <w:spacing w:line="312" w:lineRule="auto"/>
        <w:rPr>
          <w:rStyle w:val="1116"/>
          <w:rFonts w:ascii="宋体" w:hAnsi="宋体" w:cs="宋体"/>
          <w:color w:val="auto"/>
          <w:spacing w:val="6"/>
          <w:highlight w:val="none"/>
        </w:rPr>
      </w:pPr>
      <w:r>
        <w:rPr>
          <w:rStyle w:val="1116"/>
          <w:rFonts w:hint="eastAsia" w:ascii="宋体" w:hAnsi="宋体" w:cs="宋体"/>
          <w:color w:val="auto"/>
          <w:spacing w:val="6"/>
          <w:highlight w:val="none"/>
        </w:rPr>
        <w:t xml:space="preserve">-----------------签字盖章页-----------------</w:t>
      </w:r>
      <w:r/>
    </w:p>
    <w:p>
      <w:pPr>
        <w:ind w:firstLine="504"/>
        <w:jc w:val="left"/>
        <w:spacing w:line="312" w:lineRule="auto"/>
        <w:rPr>
          <w:rStyle w:val="1116"/>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504"/>
        <w:jc w:val="left"/>
        <w:spacing w:line="312" w:lineRule="auto"/>
        <w:rPr>
          <w:rStyle w:val="1116"/>
          <w:rFonts w:hint="eastAsia" w:ascii="宋体" w:hAnsi="宋体" w:cs="宋体"/>
          <w:color w:val="auto"/>
          <w:spacing w:val="6"/>
          <w:sz w:val="24"/>
          <w:szCs w:val="24"/>
          <w:highlight w:val="none"/>
        </w:rPr>
      </w:pPr>
      <w:r>
        <w:rPr>
          <w:rFonts w:hint="eastAsia" w:ascii="宋体" w:hAnsi="宋体" w:cs="宋体"/>
          <w:color w:val="auto"/>
          <w:spacing w:val="6"/>
          <w:sz w:val="24"/>
          <w:szCs w:val="24"/>
          <w:highlight w:val="none"/>
        </w:rPr>
      </w:r>
      <w:r/>
    </w:p>
    <w:p>
      <w:pPr>
        <w:ind w:firstLine="504"/>
        <w:jc w:val="left"/>
        <w:spacing w:line="312" w:lineRule="auto"/>
        <w:rPr>
          <w:rStyle w:val="1116"/>
          <w:rFonts w:ascii="宋体" w:hAnsi="宋体" w:cs="宋体"/>
          <w:color w:val="auto"/>
          <w:spacing w:val="6"/>
          <w:sz w:val="24"/>
          <w:szCs w:val="24"/>
          <w:highlight w:val="none"/>
        </w:rPr>
      </w:pPr>
      <w:r>
        <w:rPr>
          <w:rStyle w:val="1116"/>
          <w:rFonts w:hint="eastAsia" w:ascii="宋体" w:hAnsi="宋体" w:cs="宋体"/>
          <w:color w:val="auto"/>
          <w:spacing w:val="6"/>
          <w:sz w:val="24"/>
          <w:szCs w:val="24"/>
          <w:highlight w:val="none"/>
        </w:rPr>
        <w:t xml:space="preserve">甲方（盖章）：                         </w:t>
      </w:r>
      <w:r/>
    </w:p>
    <w:p>
      <w:pPr>
        <w:ind w:firstLine="504"/>
        <w:jc w:val="left"/>
        <w:spacing w:line="312" w:lineRule="auto"/>
        <w:rPr>
          <w:rStyle w:val="1116"/>
          <w:rFonts w:ascii="宋体" w:hAnsi="宋体" w:cs="宋体"/>
          <w:color w:val="auto"/>
          <w:spacing w:val="6"/>
          <w:sz w:val="24"/>
          <w:szCs w:val="24"/>
          <w:highlight w:val="none"/>
        </w:rPr>
      </w:pPr>
      <w:r>
        <w:rPr>
          <w:rStyle w:val="1116"/>
          <w:rFonts w:hint="eastAsia" w:ascii="宋体" w:hAnsi="宋体" w:cs="宋体"/>
          <w:color w:val="auto"/>
          <w:spacing w:val="6"/>
          <w:sz w:val="24"/>
          <w:szCs w:val="24"/>
          <w:highlight w:val="none"/>
        </w:rPr>
        <w:t xml:space="preserve">法定代表人或委托代理人（签字）：        </w:t>
      </w:r>
      <w:r/>
    </w:p>
    <w:p>
      <w:pPr>
        <w:ind w:firstLine="504"/>
        <w:jc w:val="left"/>
        <w:spacing w:line="312" w:lineRule="auto"/>
        <w:rPr>
          <w:rStyle w:val="1116"/>
          <w:rFonts w:ascii="宋体" w:hAnsi="宋体" w:cs="宋体"/>
          <w:color w:val="auto"/>
          <w:spacing w:val="6"/>
          <w:sz w:val="24"/>
          <w:szCs w:val="24"/>
          <w:highlight w:val="none"/>
        </w:rPr>
      </w:pPr>
      <w:r>
        <w:rPr>
          <w:rStyle w:val="1116"/>
          <w:rFonts w:hint="eastAsia" w:ascii="宋体" w:hAnsi="宋体" w:cs="宋体"/>
          <w:color w:val="auto"/>
          <w:spacing w:val="6"/>
          <w:sz w:val="24"/>
          <w:szCs w:val="24"/>
          <w:highlight w:val="none"/>
        </w:rPr>
        <w:t xml:space="preserve">联系电话：                             </w:t>
      </w:r>
      <w:r/>
    </w:p>
    <w:p>
      <w:pPr>
        <w:ind w:firstLine="504"/>
        <w:jc w:val="left"/>
        <w:spacing w:line="312" w:lineRule="auto"/>
        <w:rPr>
          <w:rStyle w:val="1116"/>
          <w:rFonts w:ascii="宋体" w:hAnsi="宋体" w:cs="宋体"/>
          <w:color w:val="auto"/>
          <w:spacing w:val="6"/>
          <w:sz w:val="24"/>
          <w:szCs w:val="24"/>
          <w:highlight w:val="none"/>
        </w:rPr>
      </w:pPr>
      <w:r>
        <w:rPr>
          <w:rStyle w:val="1116"/>
          <w:rFonts w:hint="eastAsia" w:ascii="宋体" w:hAnsi="宋体" w:cs="宋体"/>
          <w:color w:val="auto"/>
          <w:spacing w:val="6"/>
          <w:sz w:val="24"/>
          <w:szCs w:val="24"/>
          <w:highlight w:val="none"/>
        </w:rPr>
        <w:t xml:space="preserve">签约时间：    年  月  日     </w:t>
      </w:r>
      <w:r/>
    </w:p>
    <w:p>
      <w:pPr>
        <w:ind w:firstLine="504"/>
        <w:jc w:val="left"/>
        <w:spacing w:line="312" w:lineRule="auto"/>
        <w:rPr>
          <w:rStyle w:val="1116"/>
          <w:rFonts w:ascii="宋体" w:hAnsi="宋体" w:cs="宋体"/>
          <w:color w:val="auto"/>
          <w:spacing w:val="6"/>
          <w:sz w:val="24"/>
          <w:szCs w:val="24"/>
          <w:highlight w:val="none"/>
        </w:rPr>
      </w:pPr>
      <w:r>
        <w:rPr>
          <w:rStyle w:val="1116"/>
          <w:rFonts w:hint="eastAsia" w:ascii="宋体" w:hAnsi="宋体" w:cs="宋体"/>
          <w:color w:val="auto"/>
          <w:spacing w:val="6"/>
          <w:sz w:val="24"/>
          <w:szCs w:val="24"/>
          <w:highlight w:val="none"/>
        </w:rPr>
        <w:t xml:space="preserve">       </w:t>
      </w:r>
      <w:r/>
    </w:p>
    <w:p>
      <w:pPr>
        <w:ind w:firstLine="504"/>
        <w:jc w:val="left"/>
        <w:spacing w:line="312" w:lineRule="auto"/>
        <w:rPr>
          <w:rStyle w:val="1116"/>
          <w:rFonts w:ascii="宋体" w:hAnsi="宋体" w:cs="宋体"/>
          <w:color w:val="auto"/>
          <w:spacing w:val="6"/>
          <w:sz w:val="24"/>
          <w:szCs w:val="24"/>
          <w:highlight w:val="none"/>
        </w:rPr>
      </w:pPr>
      <w:r>
        <w:rPr>
          <w:rFonts w:ascii="宋体" w:hAnsi="宋体" w:cs="宋体"/>
          <w:color w:val="auto"/>
          <w:spacing w:val="6"/>
          <w:sz w:val="24"/>
          <w:szCs w:val="24"/>
          <w:highlight w:val="none"/>
        </w:rPr>
      </w:r>
      <w:r/>
    </w:p>
    <w:p>
      <w:pPr>
        <w:ind w:firstLine="504"/>
        <w:jc w:val="left"/>
        <w:spacing w:line="312" w:lineRule="auto"/>
        <w:rPr>
          <w:rStyle w:val="1116"/>
          <w:rFonts w:ascii="宋体" w:hAnsi="宋体" w:cs="宋体"/>
          <w:color w:val="auto"/>
          <w:spacing w:val="6"/>
          <w:sz w:val="24"/>
          <w:szCs w:val="24"/>
          <w:highlight w:val="none"/>
        </w:rPr>
      </w:pPr>
      <w:r>
        <w:rPr>
          <w:rStyle w:val="1116"/>
          <w:rFonts w:hint="eastAsia" w:ascii="宋体" w:hAnsi="宋体" w:cs="宋体"/>
          <w:color w:val="auto"/>
          <w:spacing w:val="6"/>
          <w:sz w:val="24"/>
          <w:szCs w:val="24"/>
          <w:highlight w:val="none"/>
        </w:rPr>
        <w:t xml:space="preserve">乙方（盖章）：                         </w:t>
      </w:r>
      <w:r/>
    </w:p>
    <w:p>
      <w:pPr>
        <w:ind w:firstLine="504"/>
        <w:jc w:val="left"/>
        <w:spacing w:line="312" w:lineRule="auto"/>
        <w:rPr>
          <w:rStyle w:val="1116"/>
          <w:rFonts w:ascii="宋体" w:hAnsi="宋体" w:cs="宋体"/>
          <w:color w:val="auto"/>
          <w:spacing w:val="6"/>
          <w:sz w:val="24"/>
          <w:szCs w:val="24"/>
          <w:highlight w:val="none"/>
        </w:rPr>
      </w:pPr>
      <w:r>
        <w:rPr>
          <w:rStyle w:val="1116"/>
          <w:rFonts w:hint="eastAsia" w:ascii="宋体" w:hAnsi="宋体" w:cs="宋体"/>
          <w:color w:val="auto"/>
          <w:spacing w:val="6"/>
          <w:sz w:val="24"/>
          <w:szCs w:val="24"/>
          <w:highlight w:val="none"/>
        </w:rPr>
        <w:t xml:space="preserve">法定代表人或委托代理人（签字）：        </w:t>
      </w:r>
      <w:r/>
    </w:p>
    <w:p>
      <w:pPr>
        <w:ind w:firstLine="504"/>
        <w:jc w:val="left"/>
        <w:spacing w:line="312" w:lineRule="auto"/>
        <w:rPr>
          <w:rStyle w:val="1116"/>
          <w:rFonts w:ascii="宋体" w:hAnsi="宋体" w:cs="宋体"/>
          <w:color w:val="auto"/>
          <w:spacing w:val="6"/>
          <w:sz w:val="24"/>
          <w:szCs w:val="24"/>
          <w:highlight w:val="none"/>
        </w:rPr>
      </w:pPr>
      <w:r>
        <w:rPr>
          <w:rStyle w:val="1116"/>
          <w:rFonts w:hint="eastAsia" w:ascii="宋体" w:hAnsi="宋体" w:cs="宋体"/>
          <w:color w:val="auto"/>
          <w:spacing w:val="6"/>
          <w:sz w:val="24"/>
          <w:szCs w:val="24"/>
          <w:highlight w:val="none"/>
        </w:rPr>
        <w:t xml:space="preserve">联系电话：</w:t>
      </w:r>
      <w:r/>
    </w:p>
    <w:p>
      <w:pPr>
        <w:ind w:firstLine="504"/>
        <w:jc w:val="left"/>
        <w:spacing w:line="312" w:lineRule="auto"/>
        <w:rPr>
          <w:rFonts w:ascii="宋体" w:hAnsi="宋体" w:cs="宋体"/>
          <w:b/>
          <w:bCs/>
          <w:color w:val="auto"/>
          <w:sz w:val="32"/>
          <w:szCs w:val="32"/>
          <w:highlight w:val="none"/>
        </w:rPr>
      </w:pPr>
      <w:r>
        <w:rPr>
          <w:rStyle w:val="1116"/>
          <w:rFonts w:hint="eastAsia" w:ascii="宋体" w:hAnsi="宋体" w:cs="宋体"/>
          <w:color w:val="auto"/>
          <w:spacing w:val="6"/>
          <w:sz w:val="24"/>
          <w:szCs w:val="24"/>
          <w:highlight w:val="none"/>
        </w:rPr>
        <w:t xml:space="preserve">签约时间：    年  月  日  </w:t>
      </w:r>
      <w:bookmarkStart w:id="9" w:name="_Toc24368"/>
      <w:r/>
      <w:r/>
    </w:p>
    <w:p>
      <w:pP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jc w:val="center"/>
        <w:spacing w:line="360" w:lineRule="auto"/>
        <w:rPr>
          <w:rFonts w:ascii="宋体" w:hAnsi="宋体" w:cs="宋体"/>
          <w:b/>
          <w:bCs/>
          <w:color w:val="auto"/>
          <w:sz w:val="32"/>
          <w:szCs w:val="32"/>
          <w:highlight w:val="none"/>
        </w:rPr>
        <w:outlineLvl w:val="0"/>
      </w:pPr>
      <w:r>
        <w:rPr>
          <w:rFonts w:hint="eastAsia" w:ascii="宋体" w:hAnsi="宋体" w:cs="宋体"/>
          <w:b/>
          <w:bCs/>
          <w:color w:val="auto"/>
          <w:sz w:val="32"/>
          <w:szCs w:val="32"/>
          <w:highlight w:val="none"/>
        </w:rPr>
        <w:t xml:space="preserve">第七章  投标文件相关格式</w:t>
      </w:r>
      <w:bookmarkEnd w:id="9"/>
      <w:r/>
      <w:r/>
    </w:p>
    <w:p>
      <w:pPr>
        <w:pStyle w:val="883"/>
        <w:jc w:val="center"/>
        <w:widowControl w:val="off"/>
        <w:rPr>
          <w:rFonts w:ascii="宋体" w:hAnsi="宋体" w:cs="宋体"/>
          <w:bCs/>
          <w:color w:val="auto"/>
          <w:sz w:val="32"/>
          <w:szCs w:val="32"/>
          <w:highlight w:val="none"/>
        </w:rPr>
      </w:pPr>
      <w:r>
        <w:rPr>
          <w:rStyle w:val="1148"/>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t xml:space="preserve">本章仅提供投标文件中的部分文件格式，不应被理解为包含了投标文件所需的全部资料）</w:t>
      </w:r>
      <w:r/>
    </w:p>
    <w:p>
      <w:pPr>
        <w:jc w:val="center"/>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rPr>
          <w:rFonts w:ascii="宋体" w:hAnsi="宋体" w:cs="宋体"/>
          <w:bCs/>
          <w:color w:val="auto"/>
          <w:sz w:val="32"/>
          <w:szCs w:val="32"/>
          <w:highlight w:val="none"/>
        </w:rPr>
      </w:pPr>
      <w:r>
        <w:rPr>
          <w:rFonts w:ascii="宋体" w:hAnsi="宋体" w:cs="宋体"/>
          <w:bCs/>
          <w:color w:val="auto"/>
          <w:sz w:val="32"/>
          <w:szCs w:val="32"/>
          <w:highlight w:val="none"/>
        </w:rPr>
      </w:r>
      <w:r/>
    </w:p>
    <w:p>
      <w:pPr>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lang w:eastAsia="zh-CN"/>
        </w:rPr>
        <w:t xml:space="preserve">2025年工业产品质量区级监督抽查抽样检验机构技术服务</w:t>
      </w:r>
      <w:r/>
    </w:p>
    <w:p>
      <w:pPr>
        <w:rPr>
          <w:rFonts w:ascii="宋体" w:hAnsi="宋体" w:cs="宋体"/>
          <w:b/>
          <w:bCs/>
          <w:color w:val="auto"/>
          <w:sz w:val="32"/>
          <w:szCs w:val="32"/>
          <w:highlight w:val="none"/>
        </w:rPr>
      </w:pPr>
      <w:r>
        <w:rPr>
          <w:rFonts w:ascii="宋体" w:hAnsi="宋体" w:cs="宋体"/>
          <w:b/>
          <w:bCs/>
          <w:color w:val="auto"/>
          <w:sz w:val="32"/>
          <w:szCs w:val="32"/>
          <w:highlight w:val="none"/>
        </w:rPr>
      </w:r>
      <w:r/>
    </w:p>
    <w:p>
      <w:pPr>
        <w:pStyle w:val="1111"/>
        <w:ind w:firstLine="560"/>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cs="宋体"/>
          <w:b/>
          <w:bCs/>
          <w:color w:val="auto"/>
          <w:sz w:val="32"/>
          <w:szCs w:val="32"/>
          <w:highlight w:val="none"/>
        </w:rPr>
      </w:pPr>
      <w:r>
        <w:rPr>
          <w:rFonts w:hint="eastAsia" w:ascii="宋体" w:hAnsi="宋体" w:cs="宋体"/>
          <w:bCs/>
          <w:color w:val="auto"/>
          <w:sz w:val="48"/>
          <w:szCs w:val="48"/>
          <w:highlight w:val="none"/>
        </w:rPr>
        <w:t xml:space="preserve">投标文件</w:t>
      </w:r>
      <w:r/>
    </w:p>
    <w:p>
      <w:pPr>
        <w:jc w:val="center"/>
        <w:rPr>
          <w:rFonts w:ascii="宋体" w:hAnsi="宋体" w:cs="宋体"/>
          <w:b/>
          <w:bCs/>
          <w:color w:val="auto"/>
          <w:sz w:val="32"/>
          <w:szCs w:val="32"/>
          <w:highlight w:val="none"/>
        </w:rPr>
      </w:pPr>
      <w:r>
        <w:rPr>
          <w:rFonts w:ascii="宋体" w:hAnsi="宋体" w:cs="宋体"/>
          <w:b/>
          <w:bCs/>
          <w:color w:val="auto"/>
          <w:sz w:val="32"/>
          <w:szCs w:val="32"/>
          <w:highlight w:val="none"/>
        </w:rPr>
      </w:r>
      <w:r/>
    </w:p>
    <w:p>
      <w:pPr>
        <w:jc w:val="center"/>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（项目编号：）</w:t>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rPr>
          <w:rFonts w:ascii="宋体" w:hAnsi="宋体" w:cs="宋体"/>
          <w:b/>
          <w:color w:val="auto"/>
          <w:sz w:val="32"/>
          <w:szCs w:val="32"/>
          <w:highlight w:val="none"/>
        </w:rPr>
      </w:pPr>
      <w:r>
        <w:rPr>
          <w:rFonts w:ascii="宋体" w:hAnsi="宋体" w:cs="宋体"/>
          <w:b/>
          <w:color w:val="auto"/>
          <w:sz w:val="32"/>
          <w:szCs w:val="32"/>
          <w:highlight w:val="none"/>
        </w:rPr>
      </w:r>
      <w:r/>
    </w:p>
    <w:p>
      <w:pPr>
        <w:jc w:val="center"/>
        <w:spacing w:line="48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投标人：</w:t>
      </w:r>
      <w:r>
        <w:rPr>
          <w:rFonts w:hint="eastAsia" w:ascii="宋体" w:hAnsi="宋体" w:cs="宋体"/>
          <w:color w:val="auto"/>
          <w:sz w:val="28"/>
          <w:szCs w:val="28"/>
          <w:highlight w:val="none"/>
          <w:u w:val="single"/>
        </w:rPr>
        <w:t xml:space="preserve">（名称打印并盖法人公章）</w:t>
      </w:r>
      <w:r/>
    </w:p>
    <w:p>
      <w:pPr>
        <w:jc w:val="center"/>
        <w:spacing w:line="480" w:lineRule="auto"/>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法定代表人或其委托代理人：</w:t>
      </w:r>
      <w:r>
        <w:rPr>
          <w:rFonts w:hint="eastAsia" w:ascii="宋体" w:hAnsi="宋体" w:cs="宋体"/>
          <w:color w:val="auto"/>
          <w:sz w:val="28"/>
          <w:szCs w:val="28"/>
          <w:highlight w:val="none"/>
          <w:u w:val="single"/>
        </w:rPr>
        <w:t xml:space="preserve">（签字或盖章）</w:t>
      </w:r>
      <w:r/>
    </w:p>
    <w:p>
      <w:pPr>
        <w:jc w:val="center"/>
        <w:spacing w:line="48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年  月  日</w:t>
      </w:r>
      <w:r/>
    </w:p>
    <w:p>
      <w:pPr>
        <w:jc w:val="left"/>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pStyle w:val="1111"/>
        <w:ind w:firstLine="482"/>
        <w:rPr>
          <w:rStyle w:val="1148"/>
          <w:rFonts w:ascii="宋体" w:hAnsi="宋体" w:eastAsia="宋体" w:cs="宋体"/>
          <w:b/>
          <w:color w:val="auto"/>
          <w:sz w:val="24"/>
          <w:szCs w:val="24"/>
          <w:highlight w:val="none"/>
        </w:rPr>
      </w:pPr>
      <w:r>
        <w:rPr>
          <w:rStyle w:val="1148"/>
          <w:rFonts w:hint="eastAsia" w:ascii="宋体" w:hAnsi="宋体" w:eastAsia="宋体" w:cs="宋体"/>
          <w:b/>
          <w:color w:val="auto"/>
          <w:sz w:val="24"/>
          <w:szCs w:val="24"/>
          <w:highlight w:val="none"/>
        </w:rPr>
        <w:t xml:space="preserve">特别提醒：</w:t>
      </w:r>
      <w:r/>
    </w:p>
    <w:p>
      <w:pPr>
        <w:pStyle w:val="1111"/>
        <w:ind w:firstLine="56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中标人领取中标通知书时须向代理机构提交纸质胶装投标文件一正四副和投标文件电子版2份（载体为光盘或U盘）。</w:t>
      </w:r>
      <w:r/>
    </w:p>
    <w:p>
      <w:pPr>
        <w:rPr>
          <w:rFonts w:ascii="宋体" w:hAnsi="宋体" w:cs="宋体"/>
          <w:color w:val="auto"/>
          <w:sz w:val="28"/>
          <w:szCs w:val="28"/>
          <w:highlight w:val="none"/>
        </w:rPr>
      </w:pPr>
      <w:r>
        <w:rPr>
          <w:rFonts w:hint="eastAsia" w:ascii="宋体" w:hAnsi="宋体" w:cs="宋体"/>
          <w:color w:val="auto"/>
          <w:sz w:val="28"/>
          <w:szCs w:val="28"/>
          <w:highlight w:val="none"/>
        </w:rPr>
        <w:br w:type="page" w:clear="all"/>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目 录</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rPr>
        <w:t xml:space="preserve">1. 投标函</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rPr>
        <w:t xml:space="preserve">2. 开标一览表</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rPr>
        <w:t xml:space="preserve">3. 分项价格表</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rPr>
        <w:t xml:space="preserve">4．偏离表</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rPr>
        <w:t xml:space="preserve">5. 法定代表人授权书</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rPr>
        <w:t xml:space="preserve">6. 中小企业声明函</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rPr>
        <w:t xml:space="preserve">7. 残疾人福利性单位声明函</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rPr>
        <w:t xml:space="preserve">8. 投标人参加政府采购活动前3年内在经营活动中没有重大违法记录的书面声明</w:t>
      </w:r>
      <w:r/>
    </w:p>
    <w:p>
      <w:pPr>
        <w:ind w:left="1701"/>
        <w:spacing w:line="360" w:lineRule="auto"/>
        <w:rPr>
          <w:rFonts w:ascii="宋体" w:hAnsi="宋体" w:cs="宋体"/>
          <w:color w:val="auto"/>
          <w:sz w:val="24"/>
          <w:highlight w:val="none"/>
        </w:rPr>
      </w:pPr>
      <w:r>
        <w:rPr>
          <w:rFonts w:hint="eastAsia" w:ascii="宋体" w:hAnsi="宋体" w:cs="宋体"/>
          <w:color w:val="auto"/>
          <w:sz w:val="24"/>
          <w:highlight w:val="none"/>
        </w:rPr>
        <w:t xml:space="preserve">9. 具备履行合同所必需的设备和专业技术能力的书面声明（附证明材料复印件）</w:t>
      </w:r>
      <w:r/>
    </w:p>
    <w:p>
      <w:pPr>
        <w:ind w:left="1701"/>
        <w:spacing w:line="360" w:lineRule="auto"/>
        <w:rPr>
          <w:rFonts w:ascii="宋体" w:hAnsi="宋体" w:cs="宋体"/>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24"/>
          <w:highlight w:val="none"/>
        </w:rPr>
        <w:t xml:space="preserve">10.预付款保函支付条款模板</w:t>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1. 投标函</w:t>
      </w:r>
      <w:r/>
    </w:p>
    <w:p>
      <w:pPr>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致：</w:t>
      </w:r>
      <w:r>
        <w:rPr>
          <w:rFonts w:hint="eastAsia" w:ascii="宋体" w:hAnsi="宋体" w:cs="宋体"/>
          <w:color w:val="auto"/>
          <w:sz w:val="24"/>
          <w:highlight w:val="none"/>
          <w:u w:val="single"/>
        </w:rPr>
        <w:t xml:space="preserve">江苏科建工程项目管理有限公司</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]招标文件，</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(姓名)代表我方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（投标人的名称）全权处理本次投标的有关事宜。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据此函，投标人承诺并同意如下：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 投标人唯一投标报价见《开标一览表》。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 投标人将按招标文件的规定履行合同责任和义务。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 投标有效期为开标之日后90天。</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 投标人不在投标初始有效期内撤回投标。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 投标人同意提供按照贵方可能要求的与其投标有关的一切数据或资料，完全理解贵方不一定接受最低价的投标或收到的任何投标。</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 投标人同意在授予合同后，按照投标资料表中的有关规定支付招标代理服务费。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 采购人或采购代理机构有权将我单位本项目的《开标一览表》和《分项价格表》予以公示，公示的方式由江苏科建工程项目管理有限公司确定。</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 采购人有权对投标人投标文件的真实性进行核实，签订合同前，中标人必须向采购人提交其投标文件中所有扫描件的原件，采购人核查无误后，签订合同。如中标人不能在采购人规定的时间内向采购人提供原件，将被采购人视为放弃中标资格。</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 与本投标有关的一切正式往来信函请寄：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传真： </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firstLine="480"/>
        <w:spacing w:line="360" w:lineRule="auto"/>
        <w:rPr>
          <w:rFonts w:hint="default" w:eastAsia="仿宋_GB2312"/>
          <w:color w:val="auto"/>
          <w:highlight w:val="none"/>
          <w:lang w:val="en-US" w:eastAsia="zh-CN"/>
        </w:rPr>
      </w:pPr>
      <w:r>
        <w:rPr>
          <w:rFonts w:hint="eastAsia" w:ascii="宋体" w:hAnsi="宋体" w:cs="宋体"/>
          <w:color w:val="auto"/>
          <w:sz w:val="24"/>
          <w:highlight w:val="none"/>
        </w:rPr>
        <w:t xml:space="preserve">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3120"/>
        <w:rPr>
          <w:rFonts w:ascii="宋体" w:hAnsi="宋体" w:cs="宋体"/>
          <w:color w:val="auto"/>
          <w:sz w:val="24"/>
          <w:highlight w:val="none"/>
        </w:rPr>
      </w:pPr>
      <w:r>
        <w:rPr>
          <w:rFonts w:ascii="宋体" w:hAnsi="宋体" w:cs="宋体"/>
          <w:color w:val="auto"/>
          <w:sz w:val="24"/>
          <w:highlight w:val="none"/>
        </w:rPr>
      </w:r>
      <w:r/>
    </w:p>
    <w:p>
      <w:pPr>
        <w:jc w:val="center"/>
        <w:spacing w:before="120" w:line="360" w:lineRule="auto"/>
        <w:rPr>
          <w:rFonts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8"/>
          <w:szCs w:val="28"/>
          <w:highlight w:val="none"/>
        </w:rPr>
        <w:t xml:space="preserve">2、开标一览表</w:t>
      </w:r>
      <w:r/>
    </w:p>
    <w:p>
      <w:pPr>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项目名称： </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p>
    <w:p>
      <w:pPr>
        <w:jc w:val="right"/>
        <w:spacing w:line="360" w:lineRule="auto"/>
        <w:rPr>
          <w:rFonts w:ascii="宋体" w:hAnsi="宋体" w:cs="宋体"/>
          <w:color w:val="auto"/>
          <w:sz w:val="24"/>
          <w:highlight w:val="none"/>
        </w:rPr>
      </w:pPr>
      <w:r>
        <w:rPr>
          <w:rFonts w:hint="eastAsia" w:ascii="宋体" w:hAnsi="宋体" w:cs="宋体"/>
          <w:color w:val="auto"/>
          <w:sz w:val="24"/>
          <w:highlight w:val="none"/>
        </w:rPr>
        <w:t xml:space="preserve">单位：人民币元</w:t>
      </w:r>
      <w:r/>
    </w:p>
    <w:p>
      <w:pPr>
        <w:rPr>
          <w:rFonts w:ascii="宋体" w:hAnsi="宋体" w:cs="宋体"/>
          <w:color w:val="auto"/>
          <w:highlight w:val="none"/>
        </w:rPr>
      </w:pPr>
      <w:r>
        <w:rPr>
          <w:rFonts w:ascii="宋体" w:hAnsi="宋体" w:cs="宋体"/>
          <w:color w:val="auto"/>
          <w:highlight w:val="none"/>
        </w:rPr>
      </w:r>
      <w:r/>
    </w:p>
    <w:tbl>
      <w:tblPr>
        <w:tblStyle w:val="805"/>
        <w:tblW w:w="9825"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538"/>
        <w:gridCol w:w="1755"/>
        <w:gridCol w:w="1789"/>
        <w:gridCol w:w="1803"/>
        <w:gridCol w:w="1940"/>
      </w:tblGrid>
      <w:tr>
        <w:trPr>
          <w:cantSplit/>
          <w:jc w:val="center"/>
          <w:trHeight w:val="1163"/>
        </w:trPr>
        <w:tc>
          <w:tcPr>
            <w:tcW w:w="253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项目名称</w:t>
            </w:r>
            <w:r/>
          </w:p>
        </w:tc>
        <w:tc>
          <w:tcPr>
            <w:tcW w:w="175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项目内容</w:t>
            </w:r>
            <w:r/>
          </w:p>
        </w:tc>
        <w:tc>
          <w:tcPr>
            <w:tcW w:w="178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总价</w:t>
            </w:r>
            <w:r/>
          </w:p>
          <w:p>
            <w:pPr>
              <w:jc w:val="center"/>
              <w:rPr>
                <w:rFonts w:ascii="宋体" w:hAnsi="宋体" w:cs="宋体"/>
                <w:color w:val="auto"/>
                <w:sz w:val="24"/>
                <w:highlight w:val="none"/>
              </w:rPr>
            </w:pPr>
            <w:r>
              <w:rPr>
                <w:rFonts w:hint="eastAsia" w:ascii="宋体" w:hAnsi="宋体" w:cs="宋体"/>
                <w:color w:val="auto"/>
                <w:sz w:val="24"/>
                <w:highlight w:val="none"/>
              </w:rPr>
              <w:t xml:space="preserve">（小写）</w:t>
            </w:r>
            <w:r/>
          </w:p>
        </w:tc>
        <w:tc>
          <w:tcPr>
            <w:tcW w:w="1803" w:type="dxa"/>
            <w:vAlign w:val="center"/>
            <w:textDirection w:val="lrTb"/>
            <w:noWrap w:val="false"/>
          </w:tcPr>
          <w:p>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单价</w:t>
            </w:r>
            <w:r/>
          </w:p>
          <w:p>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元/批次</w:t>
            </w:r>
            <w:r>
              <w:rPr>
                <w:rFonts w:hint="eastAsia" w:ascii="宋体" w:hAnsi="宋体" w:cs="宋体"/>
                <w:color w:val="auto"/>
                <w:sz w:val="24"/>
                <w:highlight w:val="none"/>
                <w:lang w:val="en-US" w:eastAsia="zh-CN"/>
              </w:rPr>
              <w:t xml:space="preserve">）</w:t>
            </w:r>
            <w:r/>
          </w:p>
          <w:p>
            <w:pPr>
              <w:jc w:val="center"/>
              <w:rPr>
                <w:rFonts w:hint="eastAsia"/>
                <w:color w:val="auto"/>
                <w:highlight w:val="none"/>
              </w:rPr>
            </w:pPr>
            <w:r>
              <w:rPr>
                <w:rFonts w:hint="eastAsia" w:ascii="宋体" w:hAnsi="宋体" w:cs="宋体"/>
                <w:color w:val="auto"/>
                <w:sz w:val="24"/>
                <w:highlight w:val="none"/>
                <w:lang w:val="en-US" w:eastAsia="zh-CN"/>
              </w:rPr>
              <w:t xml:space="preserve">（小写）</w:t>
            </w:r>
            <w:r/>
          </w:p>
        </w:tc>
        <w:tc>
          <w:tcPr>
            <w:tcW w:w="1940"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1214"/>
        </w:trPr>
        <w:tc>
          <w:tcPr>
            <w:tcW w:w="253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lang w:eastAsia="zh-CN"/>
              </w:rPr>
              <w:t xml:space="preserve">2025年工业产品质量区级监督抽查抽样检验机构技术服务</w:t>
            </w:r>
            <w:r>
              <w:rPr>
                <w:rFonts w:hint="eastAsia" w:ascii="宋体" w:hAnsi="宋体" w:cs="宋体"/>
                <w:color w:val="auto"/>
                <w:sz w:val="24"/>
                <w:highlight w:val="none"/>
              </w:rPr>
              <w:t xml:space="preserve"> </w:t>
            </w:r>
            <w:r/>
          </w:p>
        </w:tc>
        <w:tc>
          <w:tcPr>
            <w:tcW w:w="175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详见投标文件</w:t>
            </w:r>
            <w:r/>
          </w:p>
        </w:tc>
        <w:tc>
          <w:tcPr>
            <w:tcW w:w="1789"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803" w:type="dxa"/>
            <w:vAlign w:val="center"/>
            <w:textDirection w:val="lrTb"/>
            <w:noWrap w:val="false"/>
          </w:tcPr>
          <w:p>
            <w:pPr>
              <w:rPr>
                <w:rFonts w:ascii="宋体" w:hAnsi="宋体" w:cs="宋体"/>
                <w:color w:val="auto"/>
                <w:sz w:val="24"/>
                <w:highlight w:val="none"/>
              </w:rPr>
            </w:pPr>
            <w:r>
              <w:rPr>
                <w:rFonts w:ascii="宋体" w:hAnsi="宋体" w:cs="宋体"/>
                <w:color w:val="auto"/>
                <w:sz w:val="24"/>
                <w:highlight w:val="none"/>
              </w:rPr>
            </w:r>
            <w:r/>
          </w:p>
        </w:tc>
        <w:tc>
          <w:tcPr>
            <w:tcW w:w="1940" w:type="dxa"/>
            <w:vAlign w:val="center"/>
            <w:vMerge w:val="restart"/>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报价为《分项价格表》的总价。</w:t>
            </w:r>
            <w:r/>
          </w:p>
          <w:p>
            <w:pPr>
              <w:rPr>
                <w:rFonts w:ascii="宋体" w:hAnsi="宋体" w:cs="宋体"/>
                <w:color w:val="auto"/>
                <w:sz w:val="24"/>
                <w:highlight w:val="none"/>
              </w:rPr>
            </w:pPr>
            <w:r>
              <w:rPr>
                <w:rFonts w:ascii="宋体" w:hAnsi="宋体" w:cs="宋体"/>
                <w:color w:val="auto"/>
                <w:sz w:val="24"/>
                <w:highlight w:val="none"/>
              </w:rPr>
            </w:r>
            <w:r/>
          </w:p>
        </w:tc>
      </w:tr>
      <w:tr>
        <w:trPr>
          <w:cantSplit/>
          <w:jc w:val="center"/>
          <w:trHeight w:val="1452"/>
        </w:trPr>
        <w:tc>
          <w:tcPr>
            <w:tcW w:w="253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3"/>
            <w:tcW w:w="534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940"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cantSplit/>
          <w:jc w:val="center"/>
          <w:trHeight w:val="1452"/>
        </w:trPr>
        <w:tc>
          <w:tcPr>
            <w:tcW w:w="2538" w:type="dxa"/>
            <w:vAlign w:val="center"/>
            <w:textDirection w:val="lrTb"/>
            <w:noWrap w:val="false"/>
          </w:tcPr>
          <w:p>
            <w:pPr>
              <w:jc w:val="center"/>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单价（</w:t>
            </w:r>
            <w:r>
              <w:rPr>
                <w:rFonts w:hint="eastAsia" w:ascii="宋体" w:hAnsi="宋体" w:cs="宋体"/>
                <w:color w:val="auto"/>
                <w:sz w:val="24"/>
                <w:highlight w:val="none"/>
              </w:rPr>
              <w:t xml:space="preserve">元/批次</w:t>
            </w:r>
            <w:r>
              <w:rPr>
                <w:rFonts w:hint="eastAsia" w:ascii="宋体" w:hAnsi="宋体" w:cs="宋体"/>
                <w:color w:val="auto"/>
                <w:sz w:val="24"/>
                <w:highlight w:val="none"/>
                <w:lang w:val="en-US" w:eastAsia="zh-CN"/>
              </w:rPr>
              <w:t xml:space="preserve">）</w:t>
            </w:r>
            <w:r/>
          </w:p>
          <w:p>
            <w:pPr>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（大写）：</w:t>
            </w:r>
            <w:r/>
          </w:p>
        </w:tc>
        <w:tc>
          <w:tcPr>
            <w:gridSpan w:val="3"/>
            <w:tcW w:w="534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940" w:type="dxa"/>
            <w:vAlign w:val="center"/>
            <w:vMerge w:val="continue"/>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ind w:firstLine="480"/>
        <w:rPr>
          <w:rFonts w:ascii="宋体" w:hAnsi="宋体" w:cs="宋体"/>
          <w:color w:val="auto"/>
          <w:highlight w:val="none"/>
        </w:rPr>
      </w:pPr>
      <w:r>
        <w:rPr>
          <w:rFonts w:ascii="宋体" w:hAnsi="宋体" w:cs="宋体"/>
          <w:color w:val="auto"/>
          <w:highlight w:val="none"/>
        </w:rPr>
      </w:r>
      <w:r/>
    </w:p>
    <w:p>
      <w:pPr>
        <w:ind w:firstLine="480"/>
        <w:rPr>
          <w:rFonts w:ascii="宋体" w:hAnsi="宋体" w:cs="宋体"/>
          <w:color w:val="auto"/>
          <w:highlight w:val="none"/>
        </w:rPr>
      </w:pPr>
      <w:r>
        <w:rPr>
          <w:rFonts w:ascii="宋体" w:hAnsi="宋体" w:cs="宋体"/>
          <w:color w:val="auto"/>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投标人承诺：1、本项目由投标人本企业提供服务。</w:t>
      </w:r>
      <w:r/>
    </w:p>
    <w:p>
      <w:pPr>
        <w:ind w:firstLine="1982"/>
        <w:spacing w:line="360" w:lineRule="auto"/>
        <w:rPr>
          <w:rStyle w:val="1148"/>
          <w:rFonts w:ascii="宋体" w:hAnsi="宋体" w:cs="宋体"/>
          <w:b/>
          <w:color w:val="auto"/>
          <w:sz w:val="24"/>
          <w:highlight w:val="none"/>
        </w:rPr>
      </w:pPr>
      <w:r>
        <w:rPr>
          <w:rFonts w:hint="eastAsia" w:ascii="宋体" w:hAnsi="宋体" w:cs="宋体"/>
          <w:color w:val="auto"/>
          <w:sz w:val="24"/>
          <w:highlight w:val="none"/>
        </w:rPr>
        <w:t xml:space="preserve">2、合同履行期限：</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p>
    <w:p>
      <w:pPr>
        <w:pStyle w:val="1139"/>
        <w:spacing w:line="360" w:lineRule="auto"/>
        <w:rPr>
          <w:rFonts w:ascii="宋体" w:hAnsi="宋体" w:eastAsia="宋体" w:cs="宋体"/>
          <w:color w:val="auto"/>
          <w:highlight w:val="none"/>
        </w:rPr>
      </w:pPr>
      <w:r>
        <w:rPr>
          <w:rStyle w:val="1148"/>
          <w:rFonts w:hint="eastAsia" w:ascii="宋体" w:hAnsi="宋体" w:eastAsia="宋体" w:cs="宋体"/>
          <w:b/>
          <w:color w:val="auto"/>
          <w:sz w:val="24"/>
          <w:highlight w:val="none"/>
        </w:rPr>
        <w:t xml:space="preserve">  </w:t>
      </w:r>
      <w:r/>
    </w:p>
    <w:p>
      <w:pPr>
        <w:pStyle w:val="883"/>
        <w:jc w:val="left"/>
        <w:spacing w:line="360" w:lineRule="auto"/>
        <w:widowControl w:val="off"/>
        <w:rPr>
          <w:rStyle w:val="1116"/>
          <w:rFonts w:ascii="宋体" w:hAnsi="宋体" w:cs="宋体"/>
          <w:b/>
          <w:color w:val="auto"/>
          <w:sz w:val="24"/>
          <w:highlight w:val="none"/>
        </w:rPr>
      </w:pPr>
      <w:r>
        <w:rPr>
          <w:rStyle w:val="1116"/>
          <w:rFonts w:hint="eastAsia" w:ascii="宋体" w:hAnsi="宋体" w:cs="宋体"/>
          <w:b/>
          <w:color w:val="auto"/>
          <w:sz w:val="24"/>
          <w:highlight w:val="none"/>
        </w:rPr>
        <w:t xml:space="preserve">报价说明：</w:t>
      </w:r>
      <w:r/>
    </w:p>
    <w:p>
      <w:pPr>
        <w:pStyle w:val="883"/>
        <w:ind w:firstLine="482"/>
        <w:jc w:val="left"/>
        <w:spacing w:line="360" w:lineRule="auto"/>
        <w:widowControl w:val="off"/>
        <w:rPr>
          <w:rStyle w:val="1116"/>
          <w:rFonts w:ascii="宋体" w:hAnsi="宋体" w:cs="宋体"/>
          <w:b/>
          <w:color w:val="auto"/>
          <w:sz w:val="24"/>
          <w:highlight w:val="none"/>
        </w:rPr>
      </w:pPr>
      <w:r>
        <w:rPr>
          <w:rStyle w:val="1116"/>
          <w:rFonts w:hint="eastAsia" w:ascii="宋体" w:hAnsi="宋体" w:cs="宋体"/>
          <w:b/>
          <w:color w:val="auto"/>
          <w:sz w:val="24"/>
          <w:highlight w:val="none"/>
        </w:rPr>
        <w:t xml:space="preserve">1、报价包括完成项目的所有费用。采购人不再支付报价以外的任何费用；</w:t>
      </w:r>
      <w:r/>
    </w:p>
    <w:p>
      <w:pPr>
        <w:pStyle w:val="883"/>
        <w:ind w:firstLine="482"/>
        <w:jc w:val="left"/>
        <w:spacing w:line="360" w:lineRule="auto"/>
        <w:widowControl w:val="off"/>
        <w:rPr>
          <w:rStyle w:val="1116"/>
          <w:rFonts w:ascii="宋体" w:hAnsi="宋体" w:cs="宋体"/>
          <w:b/>
          <w:color w:val="auto"/>
          <w:sz w:val="24"/>
          <w:highlight w:val="none"/>
        </w:rPr>
      </w:pPr>
      <w:r>
        <w:rPr>
          <w:rStyle w:val="1116"/>
          <w:rFonts w:hint="eastAsia" w:ascii="宋体" w:hAnsi="宋体" w:cs="宋体"/>
          <w:b/>
          <w:color w:val="auto"/>
          <w:sz w:val="24"/>
          <w:highlight w:val="none"/>
        </w:rPr>
        <w:t xml:space="preserve">2、报价以总价为准，大小写不一致以大写为准；</w:t>
      </w:r>
      <w:r/>
    </w:p>
    <w:p>
      <w:pPr>
        <w:pStyle w:val="883"/>
        <w:ind w:firstLine="482"/>
        <w:jc w:val="left"/>
        <w:spacing w:line="360" w:lineRule="auto"/>
        <w:widowControl w:val="off"/>
        <w:rPr>
          <w:rStyle w:val="1116"/>
          <w:rFonts w:ascii="宋体" w:hAnsi="宋体" w:cs="宋体"/>
          <w:b/>
          <w:color w:val="auto"/>
          <w:sz w:val="24"/>
          <w:highlight w:val="none"/>
        </w:rPr>
      </w:pPr>
      <w:r>
        <w:rPr>
          <w:rStyle w:val="1116"/>
          <w:rFonts w:hint="eastAsia" w:ascii="宋体" w:hAnsi="宋体" w:cs="宋体"/>
          <w:b/>
          <w:color w:val="auto"/>
          <w:sz w:val="24"/>
          <w:highlight w:val="none"/>
        </w:rPr>
        <w:t xml:space="preserve">3、偏离说明：详见《偏离表》；</w:t>
      </w:r>
      <w:r/>
    </w:p>
    <w:p>
      <w:pPr>
        <w:ind w:firstLine="480"/>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投</w:t>
      </w:r>
      <w:r>
        <w:rPr>
          <w:rFonts w:hint="eastAsia" w:ascii="宋体" w:hAnsi="宋体" w:cs="宋体"/>
          <w:bCs/>
          <w:color w:val="auto"/>
          <w:sz w:val="24"/>
          <w:highlight w:val="none"/>
        </w:rPr>
        <w:t xml:space="preserve">标人：（盖电子签章）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ascii="宋体" w:hAnsi="宋体" w:cs="宋体"/>
          <w:color w:val="auto"/>
          <w:sz w:val="28"/>
          <w:szCs w:val="28"/>
          <w:highlight w:val="none"/>
        </w:rPr>
      </w:pPr>
      <w:r>
        <w:rPr>
          <w:rFonts w:hint="eastAsia" w:ascii="宋体" w:hAnsi="宋体" w:cs="宋体"/>
          <w:bCs/>
          <w:color w:val="auto"/>
          <w:sz w:val="24"/>
          <w:highlight w:val="none"/>
        </w:rPr>
        <w:t xml:space="preserve">日期</w:t>
      </w:r>
      <w:r>
        <w:rPr>
          <w:rFonts w:hint="eastAsia" w:ascii="宋体" w:hAnsi="宋体" w:cs="宋体"/>
          <w:color w:val="auto"/>
          <w:sz w:val="24"/>
          <w:highlight w:val="none"/>
        </w:rPr>
        <w:t xml:space="preserve">：   年  月   日</w:t>
      </w:r>
      <w:r/>
    </w:p>
    <w:p>
      <w:pPr>
        <w:jc w:val="center"/>
        <w:spacing w:line="360" w:lineRule="auto"/>
        <w:rPr>
          <w:rFonts w:ascii="宋体" w:hAnsi="宋体" w:cs="宋体"/>
          <w:color w:val="auto"/>
          <w:sz w:val="24"/>
          <w:highlight w:val="none"/>
        </w:rPr>
      </w:pPr>
      <w:r>
        <w:rPr>
          <w:rFonts w:hint="eastAsia" w:ascii="宋体" w:hAnsi="宋体" w:cs="宋体"/>
          <w:color w:val="auto"/>
          <w:sz w:val="28"/>
          <w:szCs w:val="28"/>
          <w:highlight w:val="none"/>
        </w:rPr>
        <w:br w:type="page" w:clear="all"/>
      </w:r>
      <w:r>
        <w:rPr>
          <w:rFonts w:hint="eastAsia" w:ascii="宋体" w:hAnsi="宋体" w:cs="宋体"/>
          <w:color w:val="auto"/>
          <w:sz w:val="28"/>
          <w:szCs w:val="28"/>
          <w:highlight w:val="none"/>
        </w:rPr>
        <w:t xml:space="preserve">3、分项价格表</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项目名称：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     </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货币单位：人民币元</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pStyle w:val="935"/>
        <w:ind w:left="0"/>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（格式自拟）</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left="2940"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left="2940" w:firstLine="420"/>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bCs/>
          <w:color w:val="auto"/>
          <w:sz w:val="24"/>
          <w:highlight w:val="none"/>
        </w:rPr>
      </w:pPr>
      <w:r>
        <w:rPr>
          <w:rFonts w:hint="eastAsia" w:ascii="宋体" w:hAnsi="宋体" w:cs="宋体"/>
          <w:color w:val="auto"/>
          <w:sz w:val="24"/>
          <w:highlight w:val="none"/>
        </w:rPr>
        <w:t xml:space="preserve">投</w:t>
      </w:r>
      <w:r>
        <w:rPr>
          <w:rFonts w:hint="eastAsia" w:ascii="宋体" w:hAnsi="宋体" w:cs="宋体"/>
          <w:bCs/>
          <w:color w:val="auto"/>
          <w:sz w:val="24"/>
          <w:highlight w:val="none"/>
        </w:rPr>
        <w:t xml:space="preserve">标人：（盖电子签章）</w:t>
      </w:r>
      <w:r/>
    </w:p>
    <w:p>
      <w:pPr>
        <w:ind w:firstLine="48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80"/>
        <w:spacing w:line="360" w:lineRule="auto"/>
        <w:rPr>
          <w:rFonts w:ascii="宋体" w:hAnsi="宋体" w:cs="宋体"/>
          <w:color w:val="auto"/>
          <w:sz w:val="28"/>
          <w:szCs w:val="28"/>
          <w:highlight w:val="none"/>
        </w:rPr>
      </w:pPr>
      <w:r>
        <w:rPr>
          <w:rFonts w:hint="eastAsia" w:ascii="宋体" w:hAnsi="宋体" w:cs="宋体"/>
          <w:bCs/>
          <w:color w:val="auto"/>
          <w:sz w:val="24"/>
          <w:highlight w:val="none"/>
        </w:rPr>
        <w:t xml:space="preserve">日期</w:t>
      </w:r>
      <w:r>
        <w:rPr>
          <w:rFonts w:hint="eastAsia" w:ascii="宋体" w:hAnsi="宋体" w:cs="宋体"/>
          <w:color w:val="auto"/>
          <w:sz w:val="24"/>
          <w:highlight w:val="none"/>
        </w:rPr>
        <w:t xml:space="preserve">：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①如果不提供详细分项报价的，将视为没有实质性响应招标文件。</w:t>
      </w:r>
      <w:r/>
    </w:p>
    <w:p>
      <w:pPr>
        <w:spacing w:line="360" w:lineRule="auto"/>
        <w:rPr>
          <w:rFonts w:hint="default" w:ascii="宋体" w:hAnsi="宋体" w:eastAsia="宋体" w:cs="宋体"/>
          <w:b/>
          <w:bCs/>
          <w:color w:val="auto"/>
          <w:sz w:val="24"/>
          <w:highlight w:val="none"/>
          <w:lang w:val="en-US" w:eastAsia="zh-CN"/>
        </w:rPr>
      </w:pPr>
      <w:r>
        <w:rPr>
          <w:rFonts w:hint="eastAsia" w:ascii="宋体" w:hAnsi="宋体" w:cs="宋体"/>
          <w:b/>
          <w:bCs/>
          <w:color w:val="auto"/>
          <w:sz w:val="24"/>
          <w:highlight w:val="none"/>
        </w:rPr>
        <w:t xml:space="preserve">②</w:t>
      </w:r>
      <w:r>
        <w:rPr>
          <w:rFonts w:hint="eastAsia" w:ascii="宋体" w:hAnsi="宋体" w:cs="宋体"/>
          <w:b/>
          <w:bCs/>
          <w:color w:val="auto"/>
          <w:sz w:val="24"/>
          <w:highlight w:val="none"/>
          <w:lang w:val="en-US" w:eastAsia="zh-CN"/>
        </w:rPr>
        <w:t xml:space="preserve">如经复核分项合计价格与开标一览表总价不一致，最终以两者价格低者为准。</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③</w:t>
      </w:r>
      <w:r>
        <w:rPr>
          <w:rFonts w:hint="eastAsia" w:ascii="宋体" w:hAnsi="宋体" w:cs="宋体"/>
          <w:color w:val="auto"/>
          <w:sz w:val="24"/>
          <w:highlight w:val="none"/>
        </w:rPr>
        <w:t xml:space="preserve">投标人对以上数据的真实性负责。</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④</w:t>
      </w:r>
      <w:r>
        <w:rPr>
          <w:rFonts w:hint="eastAsia" w:ascii="宋体" w:hAnsi="宋体" w:cs="宋体"/>
          <w:color w:val="auto"/>
          <w:sz w:val="24"/>
          <w:highlight w:val="none"/>
        </w:rPr>
        <w:t xml:space="preserve">采购人或采购代理机构有权将以上内容进行公示。</w:t>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4、商务/技术偏离表</w:t>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项目名称：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p>
    <w:tbl>
      <w:tblPr>
        <w:tblStyle w:val="805"/>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W w:w="828" w:type="dxa"/>
            <w:vAlign w:val="center"/>
            <w:textDirection w:val="lrTb"/>
            <w:noWrap w:val="false"/>
          </w:tcPr>
          <w:p>
            <w:pPr>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404" w:type="dxa"/>
            <w:vAlign w:val="center"/>
            <w:textDirection w:val="lrTb"/>
            <w:noWrap w:val="false"/>
          </w:tcPr>
          <w:p>
            <w:pPr>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1356" w:type="dxa"/>
            <w:vAlign w:val="center"/>
            <w:textDirection w:val="lrTb"/>
            <w:noWrap w:val="false"/>
          </w:tcPr>
          <w:p>
            <w:pPr>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招标文件的要求</w:t>
            </w:r>
            <w:r/>
          </w:p>
        </w:tc>
        <w:tc>
          <w:tcPr>
            <w:tcW w:w="1740" w:type="dxa"/>
            <w:vAlign w:val="center"/>
            <w:textDirection w:val="lrTb"/>
            <w:noWrap w:val="false"/>
          </w:tcPr>
          <w:p>
            <w:pPr>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投标文件中的内容</w:t>
            </w:r>
            <w:r/>
          </w:p>
        </w:tc>
        <w:tc>
          <w:tcPr>
            <w:tcW w:w="1260" w:type="dxa"/>
            <w:vAlign w:val="center"/>
            <w:textDirection w:val="lrTb"/>
            <w:noWrap w:val="false"/>
          </w:tcPr>
          <w:p>
            <w:pPr>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340" w:type="dxa"/>
            <w:vAlign w:val="center"/>
            <w:textDirection w:val="lrTb"/>
            <w:noWrap w:val="false"/>
          </w:tcPr>
          <w:p>
            <w:pPr>
              <w:jc w:val="center"/>
              <w:spacing w:line="360" w:lineRule="auto"/>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828" w:type="dxa"/>
            <w:textDirection w:val="lrTb"/>
            <w:noWrap w:val="false"/>
          </w:tcPr>
          <w:p>
            <w:pPr>
              <w:jc w:val="center"/>
              <w:spacing w:line="360" w:lineRule="auto"/>
              <w:rPr>
                <w:rFonts w:ascii="宋体" w:hAnsi="宋体" w:cs="宋体"/>
                <w:caps/>
                <w:color w:val="auto"/>
                <w:sz w:val="24"/>
                <w:highlight w:val="none"/>
              </w:rPr>
            </w:pPr>
            <w:r>
              <w:rPr>
                <w:rFonts w:ascii="宋体" w:hAnsi="宋体" w:cs="宋体"/>
                <w:caps/>
                <w:color w:val="auto"/>
                <w:sz w:val="24"/>
                <w:highlight w:val="none"/>
              </w:rPr>
            </w:r>
            <w:r/>
          </w:p>
        </w:tc>
        <w:tc>
          <w:tcPr>
            <w:tcW w:w="1404"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356"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4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34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28" w:type="dxa"/>
            <w:textDirection w:val="lrTb"/>
            <w:noWrap w:val="false"/>
          </w:tcPr>
          <w:p>
            <w:pPr>
              <w:jc w:val="center"/>
              <w:spacing w:line="360" w:lineRule="auto"/>
              <w:rPr>
                <w:rFonts w:ascii="宋体" w:hAnsi="宋体" w:cs="宋体"/>
                <w:caps/>
                <w:color w:val="auto"/>
                <w:sz w:val="24"/>
                <w:highlight w:val="none"/>
              </w:rPr>
            </w:pPr>
            <w:r>
              <w:rPr>
                <w:rFonts w:ascii="宋体" w:hAnsi="宋体" w:cs="宋体"/>
                <w:caps/>
                <w:color w:val="auto"/>
                <w:sz w:val="24"/>
                <w:highlight w:val="none"/>
              </w:rPr>
            </w:r>
            <w:r/>
          </w:p>
        </w:tc>
        <w:tc>
          <w:tcPr>
            <w:tcW w:w="1404"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356"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4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34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28" w:type="dxa"/>
            <w:textDirection w:val="lrTb"/>
            <w:noWrap w:val="false"/>
          </w:tcPr>
          <w:p>
            <w:pPr>
              <w:jc w:val="center"/>
              <w:spacing w:line="360" w:lineRule="auto"/>
              <w:rPr>
                <w:rFonts w:ascii="宋体" w:hAnsi="宋体" w:cs="宋体"/>
                <w:caps/>
                <w:color w:val="auto"/>
                <w:sz w:val="24"/>
                <w:highlight w:val="none"/>
              </w:rPr>
            </w:pPr>
            <w:r>
              <w:rPr>
                <w:rFonts w:ascii="宋体" w:hAnsi="宋体" w:cs="宋体"/>
                <w:caps/>
                <w:color w:val="auto"/>
                <w:sz w:val="24"/>
                <w:highlight w:val="none"/>
              </w:rPr>
            </w:r>
            <w:r/>
          </w:p>
        </w:tc>
        <w:tc>
          <w:tcPr>
            <w:tcW w:w="1404"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356"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4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34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28" w:type="dxa"/>
            <w:textDirection w:val="lrTb"/>
            <w:noWrap w:val="false"/>
          </w:tcPr>
          <w:p>
            <w:pPr>
              <w:jc w:val="center"/>
              <w:spacing w:line="360" w:lineRule="auto"/>
              <w:rPr>
                <w:rFonts w:ascii="宋体" w:hAnsi="宋体" w:cs="宋体"/>
                <w:caps/>
                <w:color w:val="auto"/>
                <w:sz w:val="24"/>
                <w:highlight w:val="none"/>
              </w:rPr>
            </w:pPr>
            <w:r>
              <w:rPr>
                <w:rFonts w:ascii="宋体" w:hAnsi="宋体" w:cs="宋体"/>
                <w:caps/>
                <w:color w:val="auto"/>
                <w:sz w:val="24"/>
                <w:highlight w:val="none"/>
              </w:rPr>
            </w:r>
            <w:r/>
          </w:p>
        </w:tc>
        <w:tc>
          <w:tcPr>
            <w:tcW w:w="1404"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356"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4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34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28" w:type="dxa"/>
            <w:textDirection w:val="lrTb"/>
            <w:noWrap w:val="false"/>
          </w:tcPr>
          <w:p>
            <w:pPr>
              <w:jc w:val="center"/>
              <w:spacing w:line="360" w:lineRule="auto"/>
              <w:rPr>
                <w:rFonts w:ascii="宋体" w:hAnsi="宋体" w:cs="宋体"/>
                <w:caps/>
                <w:color w:val="auto"/>
                <w:sz w:val="24"/>
                <w:highlight w:val="none"/>
              </w:rPr>
            </w:pPr>
            <w:r>
              <w:rPr>
                <w:rFonts w:ascii="宋体" w:hAnsi="宋体" w:cs="宋体"/>
                <w:caps/>
                <w:color w:val="auto"/>
                <w:sz w:val="24"/>
                <w:highlight w:val="none"/>
              </w:rPr>
            </w:r>
            <w:r/>
          </w:p>
        </w:tc>
        <w:tc>
          <w:tcPr>
            <w:tcW w:w="1404"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356"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4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34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28" w:type="dxa"/>
            <w:textDirection w:val="lrTb"/>
            <w:noWrap w:val="false"/>
          </w:tcPr>
          <w:p>
            <w:pPr>
              <w:jc w:val="center"/>
              <w:spacing w:line="360" w:lineRule="auto"/>
              <w:rPr>
                <w:rFonts w:ascii="宋体" w:hAnsi="宋体" w:cs="宋体"/>
                <w:caps/>
                <w:color w:val="auto"/>
                <w:sz w:val="24"/>
                <w:highlight w:val="none"/>
              </w:rPr>
            </w:pPr>
            <w:r>
              <w:rPr>
                <w:rFonts w:ascii="宋体" w:hAnsi="宋体" w:cs="宋体"/>
                <w:caps/>
                <w:color w:val="auto"/>
                <w:sz w:val="24"/>
                <w:highlight w:val="none"/>
              </w:rPr>
            </w:r>
            <w:r/>
          </w:p>
        </w:tc>
        <w:tc>
          <w:tcPr>
            <w:tcW w:w="1404"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356"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4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34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828" w:type="dxa"/>
            <w:textDirection w:val="lrTb"/>
            <w:noWrap w:val="false"/>
          </w:tcPr>
          <w:p>
            <w:pPr>
              <w:jc w:val="center"/>
              <w:spacing w:line="360" w:lineRule="auto"/>
              <w:rPr>
                <w:rFonts w:ascii="宋体" w:hAnsi="宋体" w:cs="宋体"/>
                <w:caps/>
                <w:color w:val="auto"/>
                <w:sz w:val="24"/>
                <w:highlight w:val="none"/>
              </w:rPr>
            </w:pPr>
            <w:r>
              <w:rPr>
                <w:rFonts w:ascii="宋体" w:hAnsi="宋体" w:cs="宋体"/>
                <w:caps/>
                <w:color w:val="auto"/>
                <w:sz w:val="24"/>
                <w:highlight w:val="none"/>
              </w:rPr>
            </w:r>
            <w:r/>
          </w:p>
        </w:tc>
        <w:tc>
          <w:tcPr>
            <w:tcW w:w="1404"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356"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74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126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c>
          <w:tcPr>
            <w:tcW w:w="234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spacing w:line="360" w:lineRule="auto"/>
        <w:rPr>
          <w:rFonts w:ascii="宋体" w:hAnsi="宋体" w:cs="宋体"/>
          <w:color w:val="auto"/>
          <w:sz w:val="24"/>
          <w:highlight w:val="none"/>
          <w:u w:val="single"/>
        </w:rPr>
      </w:pPr>
      <w:r>
        <w:rPr>
          <w:rFonts w:hint="eastAsia" w:ascii="宋体" w:hAnsi="宋体" w:cs="宋体"/>
          <w:color w:val="auto"/>
          <w:sz w:val="24"/>
          <w:highlight w:val="none"/>
          <w:u w:val="single"/>
        </w:rPr>
        <w:t xml:space="preserve">注：</w:t>
      </w:r>
      <w:r/>
    </w:p>
    <w:p>
      <w:pPr>
        <w:ind w:firstLine="480"/>
        <w:jc w:val="left"/>
        <w:spacing w:line="360" w:lineRule="auto"/>
        <w:rPr>
          <w:rFonts w:ascii="宋体" w:hAnsi="宋体" w:cs="宋体"/>
          <w:b/>
          <w:color w:val="auto"/>
          <w:sz w:val="24"/>
          <w:highlight w:val="none"/>
        </w:rPr>
      </w:pPr>
      <w:r>
        <w:rPr>
          <w:rFonts w:hint="eastAsia" w:ascii="宋体" w:hAnsi="宋体" w:cs="宋体"/>
          <w:color w:val="auto"/>
          <w:sz w:val="24"/>
          <w:highlight w:val="none"/>
          <w:u w:val="single"/>
        </w:rPr>
        <w:t xml:space="preserve">投标人的投标文件中的内容与招标文件（含招标文件的澄清或者修改的内容）的要求不同时，逐条列在偏离表中，否则将认为投标人接受招标文件的要求。</w:t>
      </w:r>
      <w:r/>
    </w:p>
    <w:p>
      <w:pPr>
        <w:pStyle w:val="1153"/>
        <w:ind w:firstLine="0"/>
        <w:spacing w:line="360" w:lineRule="auto"/>
        <w:rPr>
          <w:rFonts w:ascii="宋体" w:hAnsi="宋体" w:cs="宋体"/>
          <w:b/>
          <w:color w:val="auto"/>
          <w:sz w:val="24"/>
          <w:highlight w:val="none"/>
        </w:rPr>
      </w:pPr>
      <w:r>
        <w:rPr>
          <w:rFonts w:ascii="宋体" w:hAnsi="宋体" w:cs="宋体"/>
          <w:b/>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2940" w:firstLine="420"/>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br w:type="page" w:clear="all"/>
      </w:r>
      <w:r/>
    </w:p>
    <w:p>
      <w:pPr>
        <w:jc w:val="center"/>
        <w:spacing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5、法定代表人授权书</w:t>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jc w:val="center"/>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委托人：</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地  址：</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               职务：</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统一社会信用代码：</w:t>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受托人：                   性别：男（女）  </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年龄：</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岁                 民族：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族</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职务：</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身份证号：</w:t>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left="412" w:firstLine="48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兹委托（      ）全权代表我企业（公司）参与[</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bCs/>
          <w:color w:val="auto"/>
          <w:sz w:val="24"/>
          <w:highlight w:val="none"/>
        </w:rPr>
        <w:t xml:space="preserve">项目[项目编号：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]的招、投标活动及签订经济合同。（         ）以我企业（公司）名义所为的法律行为及签署的文件，我企业（公司）均予以认可。有关法律责任均由我企业（公司）承担。（         ）无转委托权。委托期限自  年  月   日起至  年  月    日止。</w:t>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70"/>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775"/>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 xml:space="preserve">特此授权委托。</w:t>
      </w:r>
      <w:r/>
    </w:p>
    <w:p>
      <w:pPr>
        <w:ind w:firstLine="775"/>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委托人（盖电子签章）：               受托人（签字或电子签章）：</w:t>
      </w:r>
      <w:r/>
    </w:p>
    <w:p>
      <w:pPr>
        <w:ind w:firstLine="775"/>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法定代表人（签字或电子签章）： </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w:t>
      </w:r>
      <w:r>
        <w:rPr>
          <w:rFonts w:hint="eastAsia" w:ascii="宋体" w:hAnsi="宋体" w:cs="宋体"/>
          <w:bCs/>
          <w:color w:val="auto"/>
          <w:sz w:val="24"/>
          <w:highlight w:val="none"/>
          <w:lang w:val="en-US" w:eastAsia="zh-CN"/>
        </w:rPr>
        <w:t xml:space="preserve">   </w:t>
      </w:r>
      <w:r>
        <w:rPr>
          <w:rFonts w:hint="eastAsia" w:ascii="宋体" w:hAnsi="宋体" w:cs="宋体"/>
          <w:bCs/>
          <w:color w:val="auto"/>
          <w:sz w:val="24"/>
          <w:highlight w:val="none"/>
        </w:rPr>
        <w:t xml:space="preserve">年   月   日 </w:t>
      </w:r>
      <w:r/>
    </w:p>
    <w:p>
      <w:pPr>
        <w:ind w:firstLine="950"/>
        <w:jc w:val="cente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950"/>
        <w:jc w:val="cente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(受托人身份证复印件附后)</w:t>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rPr>
          <w:rFonts w:ascii="宋体" w:hAnsi="宋体" w:cs="宋体"/>
          <w:bCs/>
          <w:color w:val="auto"/>
          <w:sz w:val="24"/>
          <w:highlight w:val="none"/>
        </w:rPr>
      </w:pPr>
      <w:r>
        <w:rPr>
          <w:rFonts w:ascii="宋体" w:hAnsi="宋体" w:cs="宋体"/>
          <w:bCs/>
          <w:color w:val="auto"/>
          <w:sz w:val="24"/>
          <w:highlight w:val="none"/>
        </w:rPr>
      </w:r>
      <w:r/>
    </w:p>
    <w:p>
      <w:pPr>
        <w:jc w:val="center"/>
        <w:spacing w:before="100" w:beforeAutospacing="1" w:after="100" w:afterAutospacing="1"/>
        <w:rPr>
          <w:rFonts w:ascii="宋体" w:hAnsi="宋体" w:cs="宋体"/>
          <w:color w:val="auto"/>
          <w:sz w:val="28"/>
          <w:szCs w:val="28"/>
          <w:highlight w:val="none"/>
        </w:rPr>
      </w:pPr>
      <w:r>
        <w:rPr>
          <w:rFonts w:ascii="宋体" w:hAnsi="宋体" w:cs="宋体"/>
          <w:color w:val="auto"/>
          <w:sz w:val="28"/>
          <w:szCs w:val="28"/>
          <w:highlight w:val="none"/>
        </w:rPr>
      </w:r>
      <w:r/>
    </w:p>
    <w:p>
      <w:pPr>
        <w:jc w:val="center"/>
        <w:spacing w:before="100" w:beforeAutospacing="1" w:after="100" w:afterAutospacing="1"/>
        <w:rPr>
          <w:rFonts w:ascii="宋体" w:hAnsi="宋体" w:cs="宋体"/>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color w:val="auto"/>
          <w:sz w:val="24"/>
          <w:highlight w:val="none"/>
        </w:rPr>
      </w:r>
      <w:r/>
    </w:p>
    <w:p>
      <w:pPr>
        <w:jc w:val="center"/>
        <w:rPr>
          <w:rFonts w:ascii="宋体" w:hAnsi="宋体" w:cs="宋体"/>
          <w:color w:val="auto"/>
          <w:sz w:val="28"/>
          <w:szCs w:val="28"/>
          <w:highlight w:val="none"/>
        </w:rPr>
      </w:pPr>
      <w:r>
        <w:rPr>
          <w:rFonts w:hint="eastAsia" w:ascii="宋体" w:hAnsi="宋体" w:cs="宋体"/>
          <w:color w:val="auto"/>
          <w:sz w:val="28"/>
          <w:szCs w:val="28"/>
          <w:highlight w:val="none"/>
        </w:rPr>
        <w:t xml:space="preserve">6、中小企业声明函</w:t>
      </w:r>
      <w:r/>
    </w:p>
    <w:p>
      <w:pPr>
        <w:jc w:val="center"/>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u w:val="single"/>
        </w:rPr>
      </w:pPr>
      <w:r>
        <w:rPr>
          <w:rFonts w:hint="eastAsia" w:ascii="宋体" w:hAnsi="宋体" w:cs="宋体"/>
          <w:color w:val="auto"/>
          <w:sz w:val="24"/>
          <w:highlight w:val="none"/>
        </w:rPr>
        <w:t xml:space="preserve">项目名称： </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w:t>
      </w:r>
      <w:r/>
    </w:p>
    <w:p>
      <w:pPr>
        <w:spacing w:line="48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Style w:val="1148"/>
          <w:rFonts w:ascii="宋体" w:hAnsi="宋体" w:cs="宋体"/>
          <w:color w:val="auto"/>
          <w:sz w:val="24"/>
          <w:szCs w:val="24"/>
          <w:highlight w:val="none"/>
        </w:rPr>
      </w:pPr>
      <w:r>
        <w:rPr>
          <w:rStyle w:val="1148"/>
          <w:rFonts w:hint="eastAsia" w:ascii="宋体" w:hAnsi="宋体" w:cs="宋体"/>
          <w:color w:val="auto"/>
          <w:sz w:val="24"/>
          <w:szCs w:val="24"/>
          <w:highlight w:val="none"/>
        </w:rPr>
        <w:t xml:space="preserve">本公司郑重声明，根据《政府采购促进中小企业发展暂行办法》（财库﹝2020﹞46 号）的规定，本公司参加</w:t>
      </w:r>
      <w:r>
        <w:rPr>
          <w:rStyle w:val="1148"/>
          <w:rFonts w:hint="eastAsia" w:ascii="宋体" w:hAnsi="宋体" w:cs="宋体"/>
          <w:color w:val="auto"/>
          <w:sz w:val="24"/>
          <w:szCs w:val="24"/>
          <w:highlight w:val="none"/>
          <w:u w:val="single"/>
        </w:rPr>
        <w:t xml:space="preserve"> （单位名称） </w:t>
      </w:r>
      <w:r>
        <w:rPr>
          <w:rStyle w:val="1148"/>
          <w:rFonts w:hint="eastAsia" w:ascii="宋体" w:hAnsi="宋体" w:cs="宋体"/>
          <w:color w:val="auto"/>
          <w:sz w:val="24"/>
          <w:szCs w:val="24"/>
          <w:highlight w:val="none"/>
        </w:rPr>
        <w:t xml:space="preserve">的</w:t>
      </w:r>
      <w:r>
        <w:rPr>
          <w:rStyle w:val="1148"/>
          <w:rFonts w:hint="eastAsia" w:ascii="宋体" w:hAnsi="宋体" w:cs="宋体"/>
          <w:color w:val="auto"/>
          <w:sz w:val="24"/>
          <w:szCs w:val="24"/>
          <w:highlight w:val="none"/>
          <w:u w:val="single"/>
        </w:rPr>
        <w:t xml:space="preserve"> （项目名称） </w:t>
      </w:r>
      <w:r>
        <w:rPr>
          <w:rStyle w:val="1148"/>
          <w:rFonts w:hint="eastAsia" w:ascii="宋体" w:hAnsi="宋体" w:cs="宋体"/>
          <w:color w:val="auto"/>
          <w:sz w:val="24"/>
          <w:szCs w:val="24"/>
          <w:highlight w:val="none"/>
        </w:rPr>
        <w:t xml:space="preserve">采购活动，服务全部由符合政策要求的中小企业承接。相关企业的具体情况如下：</w:t>
      </w:r>
      <w:r/>
    </w:p>
    <w:p>
      <w:pPr>
        <w:ind w:firstLine="480"/>
        <w:jc w:val="left"/>
        <w:spacing w:line="360" w:lineRule="auto"/>
        <w:rPr>
          <w:rStyle w:val="1148"/>
          <w:rFonts w:ascii="宋体" w:hAnsi="宋体" w:cs="宋体"/>
          <w:color w:val="auto"/>
          <w:sz w:val="24"/>
          <w:szCs w:val="24"/>
          <w:highlight w:val="none"/>
        </w:rPr>
      </w:pPr>
      <w:r>
        <w:rPr>
          <w:rStyle w:val="1148"/>
          <w:rFonts w:hint="eastAsia" w:ascii="宋体" w:hAnsi="宋体" w:cs="宋体"/>
          <w:color w:val="auto"/>
          <w:sz w:val="24"/>
          <w:szCs w:val="24"/>
          <w:highlight w:val="none"/>
        </w:rPr>
        <w:t xml:space="preserve">  1、</w:t>
      </w:r>
      <w:r>
        <w:rPr>
          <w:rStyle w:val="1148"/>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（标的名称）</w:t>
      </w:r>
      <w:r>
        <w:rPr>
          <w:rStyle w:val="1148"/>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，属于</w:t>
      </w:r>
      <w:r>
        <w:rPr>
          <w:rStyle w:val="1148"/>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（技术服务业）</w:t>
      </w:r>
      <w:r>
        <w:rPr>
          <w:rStyle w:val="1148"/>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承建（承接）企业为</w:t>
      </w:r>
      <w:r>
        <w:rPr>
          <w:rStyle w:val="1148"/>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rPr>
        <w:t xml:space="preserve">（企业名称）</w:t>
      </w:r>
      <w:r>
        <w:rPr>
          <w:rStyle w:val="1148"/>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Style w:val="1148"/>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Style w:val="1148"/>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Style w:val="1148"/>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w:t>
      </w:r>
      <w:r>
        <w:rPr>
          <w:rStyle w:val="1148"/>
          <w:rFonts w:hint="eastAsia" w:ascii="宋体" w:hAnsi="宋体" w:cs="宋体"/>
          <w:b/>
          <w:bCs/>
          <w:color w:val="auto"/>
          <w:sz w:val="24"/>
          <w:szCs w:val="24"/>
          <w:highlight w:val="none"/>
        </w:rPr>
        <w:t xml:space="preserve">从业人员、营业收入、资产总额填报上一年度数据）</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企业 </w:t>
      </w:r>
      <w:r>
        <w:rPr>
          <w:rFonts w:hint="eastAsia" w:ascii="宋体" w:hAnsi="宋体" w:cs="宋体"/>
          <w:color w:val="auto"/>
          <w:sz w:val="24"/>
          <w:szCs w:val="24"/>
          <w:highlight w:val="none"/>
        </w:rPr>
        <w:t xml:space="preserve">（中型企业、小型企业、微型企业，务必</w:t>
      </w:r>
      <w:r>
        <w:rPr>
          <w:rFonts w:hint="eastAsia" w:ascii="宋体" w:hAnsi="宋体" w:cs="宋体"/>
          <w:b/>
          <w:color w:val="auto"/>
          <w:sz w:val="24"/>
          <w:szCs w:val="24"/>
          <w:highlight w:val="none"/>
          <w:u w:val="single"/>
        </w:rPr>
        <w:t xml:space="preserve">请填空！</w:t>
      </w:r>
      <w:r>
        <w:rPr>
          <w:rFonts w:hint="eastAsia" w:ascii="宋体" w:hAnsi="宋体" w:cs="宋体"/>
          <w:color w:val="auto"/>
          <w:sz w:val="24"/>
          <w:szCs w:val="24"/>
          <w:highlight w:val="none"/>
        </w:rPr>
        <w:t xml:space="preserve">）；</w:t>
      </w:r>
      <w:r/>
    </w:p>
    <w:p>
      <w:pPr>
        <w:ind w:firstLine="482"/>
        <w:spacing w:line="360" w:lineRule="auto"/>
        <w:rPr>
          <w:rStyle w:val="1148"/>
          <w:rFonts w:ascii="宋体" w:hAnsi="宋体" w:cs="宋体"/>
          <w:b/>
          <w:bCs/>
          <w:color w:val="auto"/>
          <w:sz w:val="24"/>
          <w:szCs w:val="24"/>
          <w:highlight w:val="none"/>
        </w:rPr>
      </w:pPr>
      <w:r>
        <w:rPr>
          <w:rStyle w:val="1148"/>
          <w:rFonts w:hint="eastAsia" w:ascii="宋体" w:hAnsi="宋体" w:cs="宋体"/>
          <w:b/>
          <w:bCs/>
          <w:color w:val="auto"/>
          <w:sz w:val="24"/>
          <w:szCs w:val="24"/>
          <w:highlight w:val="none"/>
        </w:rPr>
        <w:t xml:space="preserve">...</w:t>
      </w:r>
      <w:r/>
    </w:p>
    <w:p>
      <w:pPr>
        <w:ind w:firstLine="482"/>
        <w:spacing w:line="360" w:lineRule="auto"/>
        <w:rPr>
          <w:rStyle w:val="1148"/>
          <w:rFonts w:ascii="宋体" w:hAnsi="宋体" w:cs="宋体"/>
          <w:color w:val="auto"/>
          <w:sz w:val="24"/>
          <w:szCs w:val="24"/>
          <w:highlight w:val="none"/>
        </w:rPr>
      </w:pPr>
      <w:r>
        <w:rPr>
          <w:rStyle w:val="1148"/>
          <w:rFonts w:hint="eastAsia" w:ascii="宋体" w:hAnsi="宋体" w:cs="宋体"/>
          <w:b/>
          <w:bCs/>
          <w:color w:val="auto"/>
          <w:sz w:val="24"/>
          <w:szCs w:val="24"/>
          <w:highlight w:val="none"/>
        </w:rPr>
        <w:t xml:space="preserve">以上企业，不属于大企业的分支机构，不存在控股股东为大企业的情形，也不存在与大企业的负责人为同一人的情形。</w:t>
      </w:r>
      <w:r/>
    </w:p>
    <w:p>
      <w:pPr>
        <w:jc w:val="left"/>
        <w:spacing w:line="360" w:lineRule="auto"/>
        <w:rPr>
          <w:rStyle w:val="1148"/>
          <w:rFonts w:ascii="宋体" w:hAnsi="宋体" w:cs="宋体"/>
          <w:color w:val="auto"/>
          <w:sz w:val="24"/>
          <w:szCs w:val="24"/>
          <w:highlight w:val="none"/>
        </w:rPr>
      </w:pPr>
      <w:r>
        <w:rPr>
          <w:rStyle w:val="1148"/>
          <w:rFonts w:hint="eastAsia" w:ascii="宋体" w:hAnsi="宋体" w:cs="宋体"/>
          <w:color w:val="auto"/>
          <w:sz w:val="24"/>
          <w:szCs w:val="24"/>
          <w:highlight w:val="none"/>
        </w:rPr>
        <w:t xml:space="preserve">　　本企业对上述声明内容的真实性负责。如有虚假，将依法承担相应责任。</w:t>
      </w:r>
      <w:r/>
    </w:p>
    <w:p>
      <w:pPr>
        <w:ind w:firstLine="480"/>
        <w:jc w:val="left"/>
        <w:spacing w:line="360" w:lineRule="auto"/>
        <w:rPr>
          <w:rStyle w:val="1148"/>
          <w:rFonts w:ascii="宋体" w:hAnsi="宋体" w:cs="宋体"/>
          <w:color w:val="auto"/>
          <w:sz w:val="24"/>
          <w:szCs w:val="24"/>
          <w:highlight w:val="none"/>
        </w:rPr>
      </w:pPr>
      <w:r>
        <w:rPr>
          <w:rStyle w:val="1148"/>
          <w:rFonts w:hint="eastAsia" w:ascii="宋体" w:hAnsi="宋体" w:cs="宋体"/>
          <w:color w:val="auto"/>
          <w:sz w:val="24"/>
          <w:szCs w:val="24"/>
          <w:highlight w:val="none"/>
        </w:rPr>
        <w:t xml:space="preserve">注：本采购项目属于</w:t>
      </w:r>
      <w:r>
        <w:rPr>
          <w:rStyle w:val="1148"/>
          <w:rFonts w:hint="eastAsia" w:ascii="宋体" w:hAnsi="宋体" w:cs="宋体"/>
          <w:color w:val="auto"/>
          <w:sz w:val="24"/>
          <w:szCs w:val="24"/>
          <w:highlight w:val="none"/>
          <w:u w:val="single"/>
        </w:rPr>
        <w:t xml:space="preserve">“技术服务业”</w:t>
      </w:r>
      <w:r>
        <w:rPr>
          <w:rStyle w:val="1148"/>
          <w:rFonts w:hint="eastAsia" w:ascii="宋体" w:hAnsi="宋体" w:cs="宋体"/>
          <w:color w:val="auto"/>
          <w:sz w:val="24"/>
          <w:szCs w:val="24"/>
          <w:highlight w:val="none"/>
        </w:rPr>
        <w:t xml:space="preserve">。</w:t>
      </w:r>
      <w:r/>
    </w:p>
    <w:p>
      <w:pPr>
        <w:ind w:firstLine="480"/>
        <w:jc w:val="left"/>
        <w:spacing w:line="360" w:lineRule="auto"/>
        <w:rPr>
          <w:rStyle w:val="1148"/>
          <w:rFonts w:hint="eastAsia" w:ascii="宋体" w:hAnsi="宋体" w:cs="宋体"/>
          <w:color w:val="auto"/>
          <w:sz w:val="24"/>
          <w:highlight w:val="none"/>
        </w:rPr>
      </w:pPr>
      <w:r>
        <w:rPr>
          <w:rStyle w:val="1148"/>
          <w:rFonts w:hint="eastAsia" w:ascii="宋体" w:hAnsi="宋体" w:cs="宋体"/>
          <w:color w:val="auto"/>
          <w:sz w:val="24"/>
          <w:highlight w:val="none"/>
        </w:rPr>
        <w:t xml:space="preserve">备注：从业人员、营业收入、资产总额填报上一年度数据，无上一年度数据的新成立企业可不填报。</w:t>
      </w:r>
      <w:r/>
    </w:p>
    <w:p>
      <w:pPr>
        <w:ind w:left="2520" w:firstLine="420"/>
        <w:jc w:val="left"/>
        <w:spacing w:line="360" w:lineRule="auto"/>
        <w:rPr>
          <w:rStyle w:val="1148"/>
          <w:rFonts w:ascii="宋体" w:hAnsi="宋体" w:cs="宋体"/>
          <w:color w:val="auto"/>
          <w:sz w:val="24"/>
          <w:highlight w:val="none"/>
        </w:rPr>
      </w:pPr>
      <w:r>
        <w:rPr>
          <w:rFonts w:ascii="宋体" w:hAnsi="宋体" w:cs="宋体"/>
          <w:color w:val="auto"/>
          <w:sz w:val="24"/>
          <w:highlight w:val="none"/>
        </w:rPr>
      </w:r>
      <w:r/>
    </w:p>
    <w:p>
      <w:pPr>
        <w:ind w:left="2520" w:firstLine="420"/>
        <w:jc w:val="left"/>
        <w:spacing w:line="360" w:lineRule="auto"/>
        <w:rPr>
          <w:rStyle w:val="1148"/>
          <w:rFonts w:ascii="宋体" w:hAnsi="宋体" w:cs="宋体"/>
          <w:color w:val="auto"/>
          <w:sz w:val="24"/>
          <w:highlight w:val="none"/>
        </w:rPr>
      </w:pPr>
      <w:r>
        <w:rPr>
          <w:rFonts w:ascii="宋体" w:hAnsi="宋体" w:cs="宋体"/>
          <w:color w:val="auto"/>
          <w:sz w:val="24"/>
          <w:highlight w:val="none"/>
        </w:rPr>
      </w:r>
      <w:r/>
    </w:p>
    <w:p>
      <w:pPr>
        <w:ind w:left="2520" w:firstLine="420"/>
        <w:jc w:val="left"/>
        <w:spacing w:line="360" w:lineRule="auto"/>
        <w:rPr>
          <w:rStyle w:val="1148"/>
          <w:rFonts w:hint="eastAsia" w:ascii="宋体" w:hAnsi="宋体" w:cs="宋体"/>
          <w:color w:val="auto"/>
          <w:sz w:val="24"/>
          <w:highlight w:val="none"/>
        </w:rPr>
      </w:pPr>
      <w:r>
        <w:rPr>
          <w:rFonts w:hint="eastAsia" w:ascii="宋体" w:hAnsi="宋体" w:cs="宋体"/>
          <w:color w:val="auto"/>
          <w:sz w:val="24"/>
          <w:highlight w:val="none"/>
        </w:rPr>
      </w:r>
      <w:r/>
    </w:p>
    <w:p>
      <w:pPr>
        <w:ind w:firstLine="240"/>
        <w:jc w:val="left"/>
        <w:spacing w:line="360" w:lineRule="auto"/>
        <w:rPr>
          <w:rStyle w:val="1148"/>
          <w:rFonts w:ascii="宋体" w:hAnsi="宋体" w:cs="宋体"/>
          <w:color w:val="auto"/>
          <w:sz w:val="24"/>
          <w:highlight w:val="none"/>
        </w:rPr>
      </w:pPr>
      <w:r>
        <w:rPr>
          <w:rStyle w:val="1148"/>
          <w:rFonts w:hint="eastAsia" w:ascii="宋体" w:hAnsi="宋体" w:cs="宋体"/>
          <w:color w:val="auto"/>
          <w:sz w:val="24"/>
          <w:highlight w:val="none"/>
        </w:rPr>
        <w:t xml:space="preserve">投标人：         （盖电子签章）</w:t>
      </w:r>
      <w:r/>
    </w:p>
    <w:p>
      <w:pPr>
        <w:ind w:left="2520" w:firstLine="42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4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80"/>
        <w:jc w:val="left"/>
        <w:rPr>
          <w:rStyle w:val="1148"/>
          <w:rFonts w:ascii="宋体" w:hAnsi="宋体" w:cs="宋体"/>
          <w:color w:val="auto"/>
          <w:sz w:val="24"/>
          <w:highlight w:val="none"/>
        </w:rPr>
      </w:pPr>
      <w:r>
        <w:rPr>
          <w:rFonts w:ascii="宋体" w:hAnsi="宋体" w:cs="宋体"/>
          <w:color w:val="auto"/>
          <w:sz w:val="24"/>
          <w:highlight w:val="none"/>
        </w:rPr>
      </w:r>
      <w:r/>
    </w:p>
    <w:p>
      <w:pPr>
        <w:ind w:firstLine="3600"/>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8"/>
          <w:szCs w:val="28"/>
          <w:highlight w:val="none"/>
        </w:rPr>
      </w:pPr>
      <w:r>
        <w:rPr>
          <w:rFonts w:ascii="宋体" w:hAnsi="宋体" w:cs="宋体"/>
          <w:color w:val="auto"/>
          <w:sz w:val="28"/>
          <w:szCs w:val="28"/>
          <w:highlight w:val="none"/>
        </w:rPr>
      </w:r>
      <w:r/>
    </w:p>
    <w:p>
      <w:pPr>
        <w:jc w:val="center"/>
        <w:rPr>
          <w:rFonts w:ascii="宋体" w:hAnsi="宋体" w:cs="宋体"/>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color w:val="auto"/>
          <w:sz w:val="28"/>
          <w:szCs w:val="28"/>
          <w:highlight w:val="none"/>
        </w:rPr>
      </w:r>
      <w:r/>
    </w:p>
    <w:p>
      <w:pPr>
        <w:pStyle w:val="1123"/>
        <w:ind w:left="0" w:right="0" w:firstLine="0"/>
        <w:keepLines w:val="0"/>
        <w:keepNext w:val="0"/>
        <w:pageBreakBefore w:val="0"/>
        <w:spacing w:beforeAutospacing="0" w:after="0" w:afterAutospacing="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val="en-US" w:eastAsia="zh-CN"/>
        </w:rPr>
        <w:t xml:space="preserve">说明</w:t>
      </w:r>
      <w:r>
        <w:rPr>
          <w:rFonts w:hint="eastAsia" w:ascii="仿宋" w:hAnsi="仿宋" w:eastAsia="仿宋" w:cs="仿宋"/>
          <w:b w:val="0"/>
          <w:bCs w:val="0"/>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1123"/>
        <w:ind w:left="0" w:right="0" w:firstLine="482"/>
        <w:keepLines w:val="0"/>
        <w:keepNext w:val="0"/>
        <w:pageBreakBefore w:val="0"/>
        <w:spacing w:beforeAutospacing="0" w:after="0" w:afterAutospacing="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2、从业人员、营业收入、资产总额填报响应</w:t>
      </w:r>
      <w:r>
        <w:rPr>
          <w:rFonts w:hint="eastAsia" w:ascii="仿宋" w:hAnsi="仿宋" w:eastAsia="仿宋" w:cs="仿宋"/>
          <w:b w:val="0"/>
          <w:bCs w:val="0"/>
          <w:color w:val="auto"/>
          <w:sz w:val="24"/>
          <w:highlight w:val="none"/>
          <w:lang w:eastAsia="zh-CN"/>
        </w:rPr>
        <w:t xml:space="preserve">投标人</w:t>
      </w:r>
      <w:r>
        <w:rPr>
          <w:rFonts w:hint="eastAsia" w:ascii="仿宋" w:hAnsi="仿宋" w:eastAsia="仿宋" w:cs="仿宋"/>
          <w:b w:val="0"/>
          <w:bCs w:val="0"/>
          <w:color w:val="auto"/>
          <w:sz w:val="24"/>
          <w:highlight w:val="none"/>
        </w:rPr>
        <w:t xml:space="preserve">上一年度数据，无上一年度数据的新成立企业可不填报。</w:t>
      </w:r>
      <w:r/>
    </w:p>
    <w:p>
      <w:pPr>
        <w:pStyle w:val="1123"/>
        <w:ind w:left="0" w:right="0" w:firstLine="482"/>
        <w:keepLines w:val="0"/>
        <w:keepNext w:val="0"/>
        <w:pageBreakBefore w:val="0"/>
        <w:spacing w:beforeAutospacing="0" w:after="0" w:afterAutospacing="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3、成交</w:t>
      </w:r>
      <w:r>
        <w:rPr>
          <w:rFonts w:hint="eastAsia" w:ascii="仿宋" w:hAnsi="仿宋" w:eastAsia="仿宋" w:cs="仿宋"/>
          <w:b w:val="0"/>
          <w:bCs w:val="0"/>
          <w:color w:val="auto"/>
          <w:sz w:val="24"/>
          <w:highlight w:val="none"/>
          <w:lang w:eastAsia="zh-CN"/>
        </w:rPr>
        <w:t xml:space="preserve">投标人</w:t>
      </w:r>
      <w:r>
        <w:rPr>
          <w:rFonts w:hint="eastAsia" w:ascii="仿宋" w:hAnsi="仿宋" w:eastAsia="仿宋" w:cs="仿宋"/>
          <w:b w:val="0"/>
          <w:bCs w:val="0"/>
          <w:color w:val="auto"/>
          <w:sz w:val="24"/>
          <w:highlight w:val="none"/>
        </w:rPr>
        <w:t xml:space="preserve">为</w:t>
      </w:r>
      <w:r>
        <w:rPr>
          <w:rFonts w:hint="eastAsia" w:ascii="仿宋" w:hAnsi="仿宋" w:eastAsia="仿宋" w:cs="仿宋"/>
          <w:b w:val="0"/>
          <w:bCs w:val="0"/>
          <w:color w:val="auto"/>
          <w:sz w:val="24"/>
          <w:highlight w:val="none"/>
          <w:lang w:val="en-US" w:eastAsia="zh-CN"/>
        </w:rPr>
        <w:t xml:space="preserve">中型、</w:t>
      </w:r>
      <w:r>
        <w:rPr>
          <w:rFonts w:hint="eastAsia" w:ascii="仿宋" w:hAnsi="仿宋" w:eastAsia="仿宋" w:cs="仿宋"/>
          <w:b w:val="0"/>
          <w:bCs w:val="0"/>
          <w:color w:val="auto"/>
          <w:sz w:val="24"/>
          <w:highlight w:val="none"/>
        </w:rPr>
        <w:t xml:space="preserve">小型、微型企业的，采购人或者其委托的采购代理机构有权随中标、成交结果同时公告其《中小企业声明函》，接受社会监督。</w:t>
      </w:r>
      <w:r/>
    </w:p>
    <w:p>
      <w:pPr>
        <w:pStyle w:val="1123"/>
        <w:ind w:left="0" w:right="0" w:firstLine="482"/>
        <w:keepLines w:val="0"/>
        <w:keepNext w:val="0"/>
        <w:pageBreakBefore w:val="0"/>
        <w:spacing w:beforeAutospacing="0" w:after="0" w:afterAutospacing="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4、执行江苏省财政厅关于进一步加大政府采购支持中小企业力度的通知（苏财购〔2022〕45号）的规定。</w:t>
      </w:r>
      <w:r/>
    </w:p>
    <w:p>
      <w:pPr>
        <w:pStyle w:val="1123"/>
        <w:ind w:left="0" w:right="0" w:firstLine="482"/>
        <w:keepLines w:val="0"/>
        <w:keepNext w:val="0"/>
        <w:pageBreakBefore w:val="0"/>
        <w:spacing w:beforeAutospacing="0" w:after="0" w:afterAutospacing="0" w:line="360" w:lineRule="auto"/>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rPr>
        <w:t xml:space="preserve">5、响应</w:t>
      </w:r>
      <w:r>
        <w:rPr>
          <w:rFonts w:hint="eastAsia" w:ascii="仿宋" w:hAnsi="仿宋" w:eastAsia="仿宋" w:cs="仿宋"/>
          <w:b w:val="0"/>
          <w:bCs w:val="0"/>
          <w:color w:val="auto"/>
          <w:sz w:val="24"/>
          <w:highlight w:val="none"/>
          <w:lang w:eastAsia="zh-CN"/>
        </w:rPr>
        <w:t xml:space="preserve">投标人</w:t>
      </w:r>
      <w:r>
        <w:rPr>
          <w:rFonts w:hint="eastAsia" w:ascii="仿宋" w:hAnsi="仿宋" w:eastAsia="仿宋" w:cs="仿宋"/>
          <w:b w:val="0"/>
          <w:bCs w:val="0"/>
          <w:color w:val="auto"/>
          <w:sz w:val="24"/>
          <w:highlight w:val="none"/>
        </w:rPr>
        <w:t xml:space="preserve">提供的《中小企业声明函》与事实不符的，依照《中华人民共和国政府采购法》第七十七条第一款的规定追究法律责任。</w:t>
      </w:r>
      <w:r/>
    </w:p>
    <w:p>
      <w:pPr>
        <w:pStyle w:val="1134"/>
        <w:ind w:left="0" w:right="0" w:firstLine="480"/>
        <w:keepLines w:val="0"/>
        <w:keepNext w:val="0"/>
        <w:pageBreakBefore w:val="0"/>
        <w:spacing w:beforeAutospacing="0" w:afterAutospacing="0" w:line="360" w:lineRule="auto"/>
        <w:rPr>
          <w:rFonts w:hint="eastAsia" w:ascii="仿宋" w:hAnsi="仿宋" w:eastAsia="仿宋" w:cs="仿宋"/>
          <w:color w:val="auto"/>
          <w:sz w:val="22"/>
          <w:szCs w:val="22"/>
          <w:highlight w:val="none"/>
        </w:rPr>
      </w:pPr>
      <w:r>
        <w:rPr>
          <w:rFonts w:hint="eastAsia" w:ascii="仿宋" w:hAnsi="仿宋" w:eastAsia="仿宋" w:cs="仿宋"/>
          <w:b/>
          <w:bCs/>
          <w:color w:val="auto"/>
          <w:sz w:val="24"/>
          <w:highlight w:val="none"/>
        </w:rPr>
        <w:t xml:space="preserve">6、《中小企业声明函》查询渠道用微信搜索“中小企业规模类型自测小程序”。</w:t>
      </w:r>
      <w:r/>
    </w:p>
    <w:p>
      <w:pPr>
        <w:pStyle w:val="1134"/>
        <w:ind w:left="0" w:right="0"/>
        <w:keepLines w:val="0"/>
        <w:keepNext w:val="0"/>
        <w:pageBreakBefore w:val="0"/>
        <w:spacing w:beforeAutospacing="0" w:afterAutospacing="0"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g">
            <w:drawing>
              <wp:inline xmlns:wp="http://schemas.openxmlformats.org/drawingml/2006/wordprocessingDrawing" distT="0" distB="0" distL="0" distR="0">
                <wp:extent cx="2231390" cy="4554220"/>
                <wp:effectExtent l="0" t="0" r="16510" b="17780"/>
                <wp:docPr id="6" name="图片 9"/>
                <wp:cNvGraphicFramePr/>
                <a:graphic xmlns:a="http://schemas.openxmlformats.org/drawingml/2006/main">
                  <a:graphicData uri="http://schemas.openxmlformats.org/drawingml/2006/picture">
                    <pic:pic xmlns:pic="http://schemas.openxmlformats.org/drawingml/2006/picture">
                      <pic:nvPicPr>
                        <pic:cNvPr id="13" name="图片 9"/>
                        <pic:cNvPicPr/>
                        <pic:nvPr/>
                      </pic:nvPicPr>
                      <pic:blipFill>
                        <a:blip r:embed="rId17"/>
                        <a:srcRect l="0" t="4825" r="0" b="0"/>
                        <a:stretch/>
                      </pic:blipFill>
                      <pic:spPr bwMode="auto">
                        <a:xfrm>
                          <a:off x="0" y="0"/>
                          <a:ext cx="2231390" cy="455422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75.7pt;height:358.6pt;mso-wrap-distance-left:0.0pt;mso-wrap-distance-top:0.0pt;mso-wrap-distance-right:0.0pt;mso-wrap-distance-bottom:0.0pt;" stroked="f">
                <v:path textboxrect="0,0,0,0"/>
                <v:imagedata r:id="rId17" o:title=""/>
              </v:shape>
            </w:pict>
          </mc:Fallback>
        </mc:AlternateContent>
      </w:r>
      <w:r/>
    </w:p>
    <w:p>
      <w:pPr>
        <w:jc w:val="cente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w:r>
      <w:r/>
    </w:p>
    <w:p>
      <w:pPr>
        <w:jc w:val="center"/>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7、残疾人福利性单位声明函</w:t>
      </w:r>
      <w:r/>
    </w:p>
    <w:p>
      <w:pPr>
        <w:spacing w:line="360" w:lineRule="auto"/>
        <w:rPr>
          <w:rFonts w:ascii="宋体" w:hAnsi="宋体" w:cs="宋体"/>
          <w:b/>
          <w:color w:val="auto"/>
          <w:spacing w:val="6"/>
          <w:sz w:val="24"/>
          <w:highlight w:val="none"/>
        </w:rPr>
      </w:pPr>
      <w:r>
        <w:rPr>
          <w:rFonts w:ascii="宋体" w:hAnsi="宋体" w:cs="宋体"/>
          <w:b/>
          <w:color w:val="auto"/>
          <w:spacing w:val="6"/>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项目名称：</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p>
    <w:p>
      <w:pPr>
        <w:ind w:firstLine="50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单位的</w:t>
      </w:r>
      <w:r>
        <w:rPr>
          <w:rFonts w:hint="eastAsia" w:ascii="宋体" w:hAnsi="宋体" w:cs="宋体"/>
          <w:color w:val="auto"/>
          <w:sz w:val="24"/>
          <w:highlight w:val="none"/>
        </w:rPr>
        <w:t xml:space="preserve">______</w:t>
      </w:r>
      <w:r>
        <w:rPr>
          <w:rFonts w:hint="eastAsia" w:ascii="宋体" w:hAnsi="宋体" w:cs="宋体"/>
          <w:color w:val="auto"/>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1680"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jc w:val="cente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jc w:val="right"/>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numPr>
          <w:ilvl w:val="0"/>
          <w:numId w:val="2"/>
        </w:numPr>
        <w:ind w:firstLine="480"/>
        <w:jc w:val="left"/>
        <w:spacing w:line="360" w:lineRule="auto"/>
        <w:rPr>
          <w:rFonts w:hint="eastAsia" w:ascii="宋体" w:hAnsi="宋体" w:cs="宋体"/>
          <w:bCs/>
          <w:color w:val="auto"/>
          <w:sz w:val="28"/>
          <w:szCs w:val="28"/>
          <w:highlight w:val="none"/>
        </w:rPr>
      </w:pPr>
      <w:r>
        <w:rPr>
          <w:rFonts w:hint="eastAsia" w:ascii="宋体" w:hAnsi="宋体" w:cs="宋体"/>
          <w:color w:val="auto"/>
          <w:sz w:val="28"/>
          <w:szCs w:val="28"/>
          <w:highlight w:val="none"/>
        </w:rPr>
        <w:br w:type="page" w:clear="all"/>
      </w:r>
      <w:r>
        <w:rPr>
          <w:rFonts w:hint="eastAsia" w:ascii="宋体" w:hAnsi="宋体" w:cs="宋体"/>
          <w:bCs/>
          <w:color w:val="auto"/>
          <w:sz w:val="28"/>
          <w:szCs w:val="28"/>
          <w:highlight w:val="none"/>
        </w:rPr>
        <w:t xml:space="preserve">投标人参加政府采购活动前3年内在经营活动中没有重大违法记录的</w:t>
      </w:r>
      <w:r/>
    </w:p>
    <w:p>
      <w:pPr>
        <w:numPr>
          <w:ilvl w:val="0"/>
          <w:numId w:val="0"/>
        </w:numPr>
        <w:jc w:val="center"/>
        <w:spacing w:line="360" w:lineRule="auto"/>
        <w:rPr>
          <w:rFonts w:ascii="宋体" w:hAnsi="宋体" w:cs="宋体"/>
          <w:bCs/>
          <w:color w:val="auto"/>
          <w:sz w:val="24"/>
          <w:highlight w:val="none"/>
        </w:rPr>
      </w:pPr>
      <w:r>
        <w:rPr>
          <w:rFonts w:hint="eastAsia" w:ascii="宋体" w:hAnsi="宋体" w:cs="宋体"/>
          <w:bCs/>
          <w:color w:val="auto"/>
          <w:sz w:val="28"/>
          <w:szCs w:val="28"/>
          <w:highlight w:val="none"/>
        </w:rPr>
        <w:t xml:space="preserve">书面声明</w:t>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jc w:val="lef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我单位在参加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（项目名称）</w:t>
      </w:r>
      <w:r>
        <w:rPr>
          <w:rFonts w:hint="eastAsia" w:ascii="宋体" w:hAnsi="宋体" w:cs="宋体"/>
          <w:bCs/>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我单位对上述声明的真实性负责。如有虚假，将依法承担相应责任。</w:t>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1680"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4"/>
          <w:highlight w:val="none"/>
        </w:rPr>
      </w:r>
      <w:r/>
    </w:p>
    <w:p>
      <w:pPr>
        <w:pStyle w:val="1134"/>
        <w:jc w:val="center"/>
        <w:spacing w:beforeAutospacing="0" w:afterAutospacing="0" w:line="360" w:lineRule="auto"/>
        <w:rPr>
          <w:rFonts w:ascii="宋体" w:hAnsi="宋体" w:cs="宋体"/>
          <w:bCs/>
          <w:color w:val="auto"/>
          <w:sz w:val="28"/>
          <w:szCs w:val="28"/>
          <w:highlight w:val="none"/>
        </w:rPr>
      </w:pPr>
      <w:r>
        <w:rPr>
          <w:rFonts w:hint="eastAsia" w:ascii="宋体" w:hAnsi="宋体" w:cs="宋体"/>
          <w:bCs/>
          <w:color w:val="auto"/>
          <w:sz w:val="28"/>
          <w:szCs w:val="28"/>
          <w:highlight w:val="none"/>
        </w:rPr>
        <w:t xml:space="preserve">9、具备履行合同所必需的设备和专业技术能力的书面声明（附证明材料）</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项目名称：</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项目编号</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投标人郑重声明：投标人具备履行合同（项目名称：</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所必需的设备和专业技术能力，具体为：</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设备：</w:t>
      </w:r>
      <w:r/>
    </w:p>
    <w:p>
      <w:pPr>
        <w:numPr>
          <w:ilvl w:val="0"/>
          <w:numId w:val="3"/>
        </w:num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numPr>
          <w:ilvl w:val="0"/>
          <w:numId w:val="3"/>
        </w:num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专业技术能力：</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（证明材料复印件附后）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特此声明。</w:t>
      </w:r>
      <w:r/>
    </w:p>
    <w:p>
      <w:pPr>
        <w:ind w:firstLine="47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投标人对上述声明的真实性负责。如有虚假，将依法承担相应责任。</w:t>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投标人：（盖电子签章）</w:t>
      </w:r>
      <w:r/>
    </w:p>
    <w:p>
      <w:pPr>
        <w:ind w:left="1680"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ind w:firstLine="470"/>
        <w:spacing w:line="360" w:lineRule="auto"/>
        <w:rPr>
          <w:rFonts w:ascii="宋体" w:hAnsi="宋体" w:cs="宋体"/>
          <w:bCs/>
          <w:color w:val="auto"/>
          <w:sz w:val="24"/>
          <w:highlight w:val="none"/>
        </w:rPr>
      </w:pPr>
      <w:r>
        <w:rPr>
          <w:rFonts w:ascii="宋体" w:hAnsi="宋体" w:cs="宋体"/>
          <w:bCs/>
          <w:color w:val="auto"/>
          <w:sz w:val="24"/>
          <w:highlight w:val="none"/>
        </w:rPr>
      </w:r>
      <w:r/>
    </w:p>
    <w:p>
      <w:pPr>
        <w:spacing w:line="360" w:lineRule="auto"/>
        <w:rPr>
          <w:rFonts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宋体" w:hAnsi="宋体" w:cs="宋体"/>
          <w:bCs/>
          <w:color w:val="auto"/>
          <w:sz w:val="28"/>
          <w:szCs w:val="28"/>
          <w:highlight w:val="none"/>
        </w:rPr>
      </w:r>
      <w:r/>
    </w:p>
    <w:p>
      <w:pPr>
        <w:jc w:val="center"/>
        <w:spacing w:line="360" w:lineRule="auto"/>
        <w:rPr>
          <w:rFonts w:ascii="宋体" w:hAnsi="宋体" w:cs="宋体"/>
          <w:b/>
          <w:bCs/>
          <w:color w:val="auto"/>
          <w:sz w:val="24"/>
          <w:highlight w:val="none"/>
        </w:rPr>
      </w:pPr>
      <w:r>
        <w:rPr>
          <w:rFonts w:hint="eastAsia" w:ascii="宋体" w:hAnsi="宋体" w:cs="宋体"/>
          <w:color w:val="auto"/>
          <w:sz w:val="28"/>
          <w:szCs w:val="28"/>
          <w:highlight w:val="none"/>
        </w:rPr>
        <w:t xml:space="preserve">10、预付款保函支付条款模板 </w:t>
      </w:r>
      <w:r/>
    </w:p>
    <w:p>
      <w:pPr>
        <w:ind w:firstLine="480"/>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符合条件一：提交预付款保函的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（1）合同签订且乙方向甲方出具预付款保函后个工作日内，甲方应支付合同价款的百分之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 。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符合条件二：不提交预付款保函的</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（1）合同签订后个工作日内，甲方应支付合同价款的百分之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乙方需提交的支付文件：乙方出具的全额正式发票。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（2）验收合格后个工作日内，甲方应支付合同价款的百分之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（%），小写￥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人民币。</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1、付款条件一中，出具预付款保函后支付的合同款应当与保函金额一致。</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2、付款条件二中，预付款比例设定应符合《关于做好政府采购支持企业发展有关事项的通知》(苏财购〔2020〕52号)要求。</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-----------------（以下无正文）-----------------</w:t>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Microsoft JhengHei UI">
    <w:panose1 w:val="020B0604030504040204"/>
  </w:font>
  <w:font w:name="仿宋">
    <w:panose1 w:val="02010609060101010101"/>
  </w:font>
  <w:font w:name="Cambria">
    <w:panose1 w:val="02040503050406030204"/>
  </w:font>
  <w:font w:name="Calibri Light">
    <w:panose1 w:val="020F0302020204030204"/>
  </w:font>
  <w:font w:name="Symbol">
    <w:panose1 w:val="05050102010706020507"/>
  </w:font>
  <w:font w:name="新宋体">
    <w:panose1 w:val="02010609030101010101"/>
  </w:font>
  <w:font w:name="Calibri">
    <w:panose1 w:val="020F0502020204030204"/>
  </w:font>
  <w:font w:name="Courier New">
    <w:panose1 w:val="02070309020205020404"/>
  </w:font>
  <w:font w:name="Verdana">
    <w:panose1 w:val="020B0604030504040204"/>
  </w:font>
  <w:font w:name="黑体">
    <w:panose1 w:val="02010609060101010101"/>
  </w:font>
  <w:font w:name="仿宋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sz w:val="18"/>
        <w:szCs w:val="18"/>
      </w:rPr>
    </w:pPr>
    <w:r>
      <w:rPr>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5"/>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5"/>
                      <w:tabs>
                        <w:tab w:val="clear" w:pos="7143" w:leader="none"/>
                        <w:tab w:val="clear" w:pos="14287" w:leader="none"/>
                      </w:tabs>
                    </w:pPr>
                    <w:r>
                      <w:fldChar w:fldCharType="begin"/>
                    </w:r>
                    <w:r>
                      <w:instrText xml:space="preserve"> PAGE  \* MERGEFORMAT </w:instrText>
                    </w:r>
                    <w:r>
                      <w:fldChar w:fldCharType="separate"/>
                    </w:r>
                    <w:r>
                      <w:t xml:space="preserve">19</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0"/>
      <w:ind w:right="360"/>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0"/>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Pr>
        <w:rFonts w:hint="eastAsia"/>
      </w:rPr>
      <mc:AlternateContent>
        <mc:Choice Requires="wpg">
          <w:drawing>
            <wp:inline xmlns:wp="http://schemas.openxmlformats.org/drawingml/2006/wordprocessingDrawing" distT="0" distB="0" distL="0" distR="0">
              <wp:extent cx="281305" cy="245110"/>
              <wp:effectExtent l="0" t="0" r="0" b="0"/>
              <wp:docPr id="1" name="图片 3"/>
              <wp:cNvGraphicFramePr/>
              <a:graphic xmlns:a="http://schemas.openxmlformats.org/drawingml/2006/main">
                <a:graphicData uri="http://schemas.openxmlformats.org/drawingml/2006/picture">
                  <pic:pic xmlns:pic="http://schemas.openxmlformats.org/drawingml/2006/picture">
                    <pic:nvPicPr>
                      <pic:cNvPr id="1" name="图片 3"/>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eastAsia="zh-CN"/>
      </w:rPr>
      <w:t xml:space="preserve">2025年工业产品质量区级监督抽查抽样检验机构技术服务</w:t>
    </w:r>
    <w:r>
      <w:rPr>
        <w:rFonts w:hint="eastAsia"/>
      </w:rPr>
      <w:t xml:space="preserve">                    招标文件</w:t>
    </w:r>
    <w:r/>
  </w:p>
  <w:p>
    <w:pPr>
      <w:pStyle w:val="8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Pr>
        <w:rFonts w:hint="eastAsia"/>
      </w:rPr>
      <mc:AlternateContent>
        <mc:Choice Requires="wpg">
          <w:drawing>
            <wp:inline xmlns:wp="http://schemas.openxmlformats.org/drawingml/2006/wordprocessingDrawing" distT="0" distB="0" distL="0" distR="0">
              <wp:extent cx="281305" cy="245110"/>
              <wp:effectExtent l="0" t="0" r="0" b="0"/>
              <wp:docPr id="2" name="图片 4"/>
              <wp:cNvGraphicFramePr/>
              <a:graphic xmlns:a="http://schemas.openxmlformats.org/drawingml/2006/main">
                <a:graphicData uri="http://schemas.openxmlformats.org/drawingml/2006/picture">
                  <pic:pic xmlns:pic="http://schemas.openxmlformats.org/drawingml/2006/picture">
                    <pic:nvPicPr>
                      <pic:cNvPr id="2" name="图片 4"/>
                      <pic:cNvPicPr/>
                      <pic:nvPr/>
                    </pic:nvPicPr>
                    <pic:blipFill>
                      <a:blip r:embed="rId1"/>
                      <a:stretch/>
                    </pic:blipFill>
                    <pic:spPr bwMode="auto">
                      <a:xfrm>
                        <a:off x="0" y="0"/>
                        <a:ext cx="281894" cy="2457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1pt;height:19.3pt;mso-wrap-distance-left:0.0pt;mso-wrap-distance-top:0.0pt;mso-wrap-distance-right:0.0pt;mso-wrap-distance-bottom:0.0pt;" stroked="f">
              <v:path textboxrect="0,0,0,0"/>
              <v:imagedata r:id="rId1" o:title=""/>
            </v:shape>
          </w:pict>
        </mc:Fallback>
      </mc:AlternateContent>
    </w:r>
    <w:r>
      <w:rPr>
        <w:rFonts w:hint="eastAsia"/>
      </w:rPr>
      <w:t xml:space="preserve">江苏科建编制     </w:t>
    </w:r>
    <w:r>
      <w:rPr>
        <w:rFonts w:hint="eastAsia"/>
        <w:lang w:val="en-US" w:eastAsia="zh-CN"/>
      </w:rPr>
      <w:t xml:space="preserve">       </w:t>
    </w:r>
    <w:r>
      <w:rPr>
        <w:rFonts w:hint="eastAsia"/>
      </w:rPr>
      <w:t xml:space="preserve"> </w:t>
    </w:r>
    <w:r>
      <w:rPr>
        <w:rFonts w:hint="eastAsia" w:ascii="宋体" w:hAnsi="宋体" w:cs="宋体"/>
        <w:lang w:eastAsia="zh-CN"/>
      </w:rPr>
      <w:t xml:space="preserve">2025年工业产品质量区级监督抽查抽样检验机构技术服务</w:t>
    </w:r>
    <w:r>
      <w:rPr>
        <w:rFonts w:hint="eastAsi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next w:val="806"/>
    <w:link w:val="111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95">
    <w:name w:val="Heading 1"/>
    <w:basedOn w:val="794"/>
    <w:next w:val="794"/>
    <w:link w:val="892"/>
    <w:uiPriority w:val="9"/>
    <w:qFormat/>
    <w:pPr>
      <w:keepLines/>
      <w:keepNext/>
      <w:spacing w:before="480" w:after="200"/>
      <w:outlineLvl w:val="0"/>
    </w:pPr>
    <w:rPr>
      <w:rFonts w:ascii="Arial" w:hAnsi="Arial" w:eastAsia="Arial" w:cs="Arial"/>
      <w:sz w:val="40"/>
      <w:szCs w:val="40"/>
    </w:rPr>
  </w:style>
  <w:style w:type="paragraph" w:styleId="796">
    <w:name w:val="Heading 2"/>
    <w:basedOn w:val="794"/>
    <w:next w:val="794"/>
    <w:link w:val="893"/>
    <w:uiPriority w:val="9"/>
    <w:unhideWhenUsed/>
    <w:qFormat/>
    <w:pPr>
      <w:keepLines/>
      <w:keepNext/>
      <w:spacing w:before="360" w:after="200"/>
      <w:outlineLvl w:val="1"/>
    </w:pPr>
    <w:rPr>
      <w:rFonts w:ascii="Arial" w:hAnsi="Arial" w:eastAsia="Arial" w:cs="Arial"/>
      <w:sz w:val="34"/>
    </w:rPr>
  </w:style>
  <w:style w:type="paragraph" w:styleId="797">
    <w:name w:val="Heading 3"/>
    <w:basedOn w:val="794"/>
    <w:next w:val="794"/>
    <w:link w:val="894"/>
    <w:uiPriority w:val="9"/>
    <w:unhideWhenUsed/>
    <w:qFormat/>
    <w:pPr>
      <w:keepLines/>
      <w:keepNext/>
      <w:spacing w:before="320" w:after="200"/>
      <w:outlineLvl w:val="2"/>
    </w:pPr>
    <w:rPr>
      <w:rFonts w:ascii="Arial" w:hAnsi="Arial" w:eastAsia="Arial" w:cs="Arial"/>
      <w:sz w:val="30"/>
      <w:szCs w:val="30"/>
    </w:rPr>
  </w:style>
  <w:style w:type="paragraph" w:styleId="798">
    <w:name w:val="Heading 4"/>
    <w:basedOn w:val="794"/>
    <w:next w:val="794"/>
    <w:link w:val="895"/>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794"/>
    <w:next w:val="794"/>
    <w:link w:val="896"/>
    <w:uiPriority w:val="9"/>
    <w:unhideWhenUsed/>
    <w:qFormat/>
    <w:pPr>
      <w:keepLines/>
      <w:keepNext/>
      <w:spacing w:before="320" w:after="200"/>
      <w:outlineLvl w:val="4"/>
    </w:pPr>
    <w:rPr>
      <w:rFonts w:ascii="Arial" w:hAnsi="Arial" w:eastAsia="Arial" w:cs="Arial"/>
      <w:b/>
      <w:bCs/>
      <w:sz w:val="24"/>
      <w:szCs w:val="24"/>
    </w:rPr>
  </w:style>
  <w:style w:type="paragraph" w:styleId="800">
    <w:name w:val="Heading 6"/>
    <w:basedOn w:val="794"/>
    <w:next w:val="794"/>
    <w:link w:val="897"/>
    <w:uiPriority w:val="9"/>
    <w:unhideWhenUsed/>
    <w:qFormat/>
    <w:pPr>
      <w:keepLines/>
      <w:keepNext/>
      <w:spacing w:before="320" w:after="200"/>
      <w:outlineLvl w:val="5"/>
    </w:pPr>
    <w:rPr>
      <w:rFonts w:ascii="Arial" w:hAnsi="Arial" w:eastAsia="Arial" w:cs="Arial"/>
      <w:b/>
      <w:bCs/>
      <w:sz w:val="22"/>
      <w:szCs w:val="22"/>
    </w:rPr>
  </w:style>
  <w:style w:type="paragraph" w:styleId="801">
    <w:name w:val="Heading 7"/>
    <w:basedOn w:val="794"/>
    <w:next w:val="794"/>
    <w:link w:val="898"/>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794"/>
    <w:next w:val="794"/>
    <w:link w:val="899"/>
    <w:uiPriority w:val="9"/>
    <w:unhideWhenUsed/>
    <w:qFormat/>
    <w:pPr>
      <w:keepLines/>
      <w:keepNext/>
      <w:spacing w:before="320" w:after="200"/>
      <w:outlineLvl w:val="7"/>
    </w:pPr>
    <w:rPr>
      <w:rFonts w:ascii="Arial" w:hAnsi="Arial" w:eastAsia="Arial" w:cs="Arial"/>
      <w:i/>
      <w:iCs/>
      <w:sz w:val="22"/>
      <w:szCs w:val="22"/>
    </w:rPr>
  </w:style>
  <w:style w:type="paragraph" w:styleId="803">
    <w:name w:val="Heading 9"/>
    <w:basedOn w:val="794"/>
    <w:next w:val="794"/>
    <w:link w:val="900"/>
    <w:uiPriority w:val="9"/>
    <w:unhideWhenUsed/>
    <w:qFormat/>
    <w:pPr>
      <w:keepLines/>
      <w:keepNext/>
      <w:spacing w:before="320" w:after="200"/>
      <w:outlineLvl w:val="8"/>
    </w:pPr>
    <w:rPr>
      <w:rFonts w:ascii="Arial" w:hAnsi="Arial" w:eastAsia="Arial" w:cs="Arial"/>
      <w:i/>
      <w:iCs/>
    </w:rPr>
  </w:style>
  <w:style w:type="character" w:styleId="804" w:default="1">
    <w:name w:val="Default Paragraph Font"/>
    <w:uiPriority w:val="1"/>
    <w:semiHidden/>
    <w:unhideWhenUsed/>
    <w:qFormat/>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Body Text First Indent"/>
    <w:basedOn w:val="794"/>
    <w:uiPriority w:val="0"/>
    <w:qFormat/>
    <w:pPr>
      <w:ind w:firstLine="200"/>
      <w:spacing w:line="360" w:lineRule="auto"/>
    </w:pPr>
    <w:rPr>
      <w:rFonts w:ascii="仿宋_GB2312" w:eastAsia="仿宋_GB2312"/>
      <w:sz w:val="30"/>
      <w:szCs w:val="30"/>
    </w:rPr>
  </w:style>
  <w:style w:type="paragraph" w:styleId="807">
    <w:name w:val="toc 7"/>
    <w:basedOn w:val="794"/>
    <w:next w:val="794"/>
    <w:uiPriority w:val="39"/>
    <w:unhideWhenUsed/>
    <w:qFormat/>
    <w:pPr>
      <w:ind w:left="1701"/>
      <w:spacing w:after="57"/>
    </w:pPr>
  </w:style>
  <w:style w:type="paragraph" w:styleId="808">
    <w:name w:val="Caption"/>
    <w:basedOn w:val="794"/>
    <w:next w:val="79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9">
    <w:name w:val="annotation text"/>
    <w:basedOn w:val="794"/>
    <w:uiPriority w:val="99"/>
    <w:semiHidden/>
    <w:unhideWhenUsed/>
    <w:qFormat/>
    <w:pPr>
      <w:jc w:val="left"/>
    </w:pPr>
  </w:style>
  <w:style w:type="paragraph" w:styleId="810">
    <w:name w:val="Body Text"/>
    <w:basedOn w:val="794"/>
    <w:next w:val="794"/>
    <w:uiPriority w:val="0"/>
    <w:qFormat/>
    <w:pPr>
      <w:spacing w:after="120"/>
    </w:pPr>
  </w:style>
  <w:style w:type="paragraph" w:styleId="811">
    <w:name w:val="Body Text Indent"/>
    <w:basedOn w:val="794"/>
    <w:next w:val="812"/>
    <w:uiPriority w:val="99"/>
    <w:unhideWhenUsed/>
    <w:qFormat/>
    <w:pPr>
      <w:ind w:left="420"/>
      <w:spacing w:after="120"/>
    </w:pPr>
  </w:style>
  <w:style w:type="paragraph" w:styleId="812">
    <w:name w:val="envelope return"/>
    <w:basedOn w:val="794"/>
    <w:uiPriority w:val="0"/>
    <w:qFormat/>
    <w:rPr>
      <w:rFonts w:ascii="Arial" w:hAnsi="Arial"/>
    </w:rPr>
  </w:style>
  <w:style w:type="paragraph" w:styleId="813">
    <w:name w:val="Block Text"/>
    <w:basedOn w:val="794"/>
    <w:next w:val="794"/>
    <w:uiPriority w:val="0"/>
    <w:qFormat/>
    <w:pPr>
      <w:ind w:left="256" w:right="6" w:firstLine="624"/>
    </w:pPr>
    <w:rPr>
      <w:rFonts w:eastAsia="仿宋_GB2312"/>
      <w:sz w:val="28"/>
      <w:szCs w:val="20"/>
    </w:rPr>
  </w:style>
  <w:style w:type="paragraph" w:styleId="814">
    <w:name w:val="toc 5"/>
    <w:basedOn w:val="794"/>
    <w:next w:val="794"/>
    <w:uiPriority w:val="39"/>
    <w:unhideWhenUsed/>
    <w:qFormat/>
    <w:pPr>
      <w:ind w:left="1134"/>
      <w:spacing w:after="57"/>
    </w:pPr>
  </w:style>
  <w:style w:type="paragraph" w:styleId="815">
    <w:name w:val="toc 3"/>
    <w:basedOn w:val="794"/>
    <w:next w:val="794"/>
    <w:uiPriority w:val="39"/>
    <w:unhideWhenUsed/>
    <w:qFormat/>
    <w:pPr>
      <w:ind w:left="567"/>
      <w:spacing w:after="57"/>
    </w:pPr>
  </w:style>
  <w:style w:type="paragraph" w:styleId="816">
    <w:name w:val="Plain Text"/>
    <w:basedOn w:val="794"/>
    <w:uiPriority w:val="0"/>
    <w:qFormat/>
    <w:rPr>
      <w:rFonts w:ascii="宋体" w:hAnsi="Courier New"/>
    </w:rPr>
  </w:style>
  <w:style w:type="paragraph" w:styleId="817">
    <w:name w:val="toc 8"/>
    <w:basedOn w:val="794"/>
    <w:next w:val="794"/>
    <w:uiPriority w:val="39"/>
    <w:unhideWhenUsed/>
    <w:qFormat/>
    <w:pPr>
      <w:ind w:left="1984"/>
      <w:spacing w:after="57"/>
    </w:pPr>
  </w:style>
  <w:style w:type="paragraph" w:styleId="818">
    <w:name w:val="endnote text"/>
    <w:basedOn w:val="794"/>
    <w:link w:val="908"/>
    <w:uiPriority w:val="99"/>
    <w:semiHidden/>
    <w:unhideWhenUsed/>
    <w:qFormat/>
    <w:rPr>
      <w:sz w:val="20"/>
    </w:rPr>
  </w:style>
  <w:style w:type="paragraph" w:styleId="819">
    <w:name w:val="Footer"/>
    <w:basedOn w:val="794"/>
    <w:link w:val="906"/>
    <w:uiPriority w:val="99"/>
    <w:unhideWhenUsed/>
    <w:qFormat/>
    <w:pPr>
      <w:tabs>
        <w:tab w:val="center" w:pos="7143" w:leader="none"/>
        <w:tab w:val="right" w:pos="14287" w:leader="none"/>
      </w:tabs>
    </w:pPr>
  </w:style>
  <w:style w:type="paragraph" w:styleId="820">
    <w:name w:val="Header"/>
    <w:basedOn w:val="794"/>
    <w:link w:val="905"/>
    <w:uiPriority w:val="99"/>
    <w:unhideWhenUsed/>
    <w:qFormat/>
    <w:pPr>
      <w:tabs>
        <w:tab w:val="center" w:pos="7143" w:leader="none"/>
        <w:tab w:val="right" w:pos="14287" w:leader="none"/>
      </w:tabs>
    </w:pPr>
  </w:style>
  <w:style w:type="paragraph" w:styleId="821">
    <w:name w:val="toc 1"/>
    <w:basedOn w:val="794"/>
    <w:next w:val="794"/>
    <w:uiPriority w:val="39"/>
    <w:unhideWhenUsed/>
    <w:qFormat/>
    <w:pPr>
      <w:spacing w:after="57"/>
    </w:pPr>
  </w:style>
  <w:style w:type="paragraph" w:styleId="822">
    <w:name w:val="toc 4"/>
    <w:basedOn w:val="794"/>
    <w:next w:val="794"/>
    <w:uiPriority w:val="39"/>
    <w:unhideWhenUsed/>
    <w:qFormat/>
    <w:pPr>
      <w:ind w:left="850"/>
      <w:spacing w:after="57"/>
    </w:pPr>
  </w:style>
  <w:style w:type="paragraph" w:styleId="823">
    <w:name w:val="Subtitle"/>
    <w:basedOn w:val="794"/>
    <w:next w:val="794"/>
    <w:link w:val="902"/>
    <w:uiPriority w:val="11"/>
    <w:qFormat/>
    <w:pPr>
      <w:spacing w:before="200" w:after="200"/>
    </w:pPr>
    <w:rPr>
      <w:sz w:val="24"/>
      <w:szCs w:val="24"/>
    </w:rPr>
  </w:style>
  <w:style w:type="paragraph" w:styleId="824">
    <w:name w:val="footnote text"/>
    <w:basedOn w:val="794"/>
    <w:link w:val="907"/>
    <w:uiPriority w:val="99"/>
    <w:semiHidden/>
    <w:unhideWhenUsed/>
    <w:qFormat/>
    <w:pPr>
      <w:spacing w:after="40"/>
    </w:pPr>
    <w:rPr>
      <w:sz w:val="18"/>
    </w:rPr>
  </w:style>
  <w:style w:type="paragraph" w:styleId="825">
    <w:name w:val="toc 6"/>
    <w:basedOn w:val="794"/>
    <w:next w:val="794"/>
    <w:uiPriority w:val="39"/>
    <w:unhideWhenUsed/>
    <w:qFormat/>
    <w:pPr>
      <w:ind w:left="1417"/>
      <w:spacing w:after="57"/>
    </w:pPr>
  </w:style>
  <w:style w:type="paragraph" w:styleId="826">
    <w:name w:val="table of figures"/>
    <w:basedOn w:val="794"/>
    <w:next w:val="794"/>
    <w:uiPriority w:val="99"/>
    <w:unhideWhenUsed/>
    <w:qFormat/>
  </w:style>
  <w:style w:type="paragraph" w:styleId="827">
    <w:name w:val="toc 2"/>
    <w:basedOn w:val="794"/>
    <w:next w:val="794"/>
    <w:uiPriority w:val="39"/>
    <w:unhideWhenUsed/>
    <w:qFormat/>
    <w:pPr>
      <w:ind w:left="283"/>
      <w:spacing w:after="57"/>
    </w:pPr>
  </w:style>
  <w:style w:type="paragraph" w:styleId="828">
    <w:name w:val="toc 9"/>
    <w:basedOn w:val="794"/>
    <w:next w:val="794"/>
    <w:uiPriority w:val="39"/>
    <w:unhideWhenUsed/>
    <w:qFormat/>
    <w:pPr>
      <w:ind w:left="2268"/>
      <w:spacing w:after="57"/>
    </w:pPr>
  </w:style>
  <w:style w:type="paragraph" w:styleId="829">
    <w:name w:val="Normal (Web)"/>
    <w:basedOn w:val="794"/>
    <w:uiPriority w:val="0"/>
    <w:qFormat/>
    <w:pPr>
      <w:jc w:val="left"/>
      <w:spacing w:beforeAutospacing="1" w:afterAutospacing="1"/>
    </w:pPr>
    <w:rPr>
      <w:sz w:val="24"/>
    </w:rPr>
  </w:style>
  <w:style w:type="paragraph" w:styleId="830">
    <w:name w:val="Title"/>
    <w:basedOn w:val="794"/>
    <w:next w:val="794"/>
    <w:link w:val="901"/>
    <w:uiPriority w:val="10"/>
    <w:qFormat/>
    <w:pPr>
      <w:contextualSpacing/>
      <w:spacing w:before="300" w:after="200"/>
    </w:pPr>
    <w:rPr>
      <w:sz w:val="48"/>
      <w:szCs w:val="48"/>
    </w:rPr>
  </w:style>
  <w:style w:type="table" w:styleId="8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Strong"/>
    <w:basedOn w:val="804"/>
    <w:uiPriority w:val="0"/>
    <w:qFormat/>
    <w:rPr>
      <w:b/>
    </w:rPr>
  </w:style>
  <w:style w:type="character" w:styleId="833">
    <w:name w:val="endnote reference"/>
    <w:uiPriority w:val="99"/>
    <w:semiHidden/>
    <w:unhideWhenUsed/>
    <w:qFormat/>
    <w:rPr>
      <w:vertAlign w:val="superscript"/>
    </w:rPr>
  </w:style>
  <w:style w:type="character" w:styleId="834">
    <w:name w:val="page number"/>
    <w:uiPriority w:val="0"/>
    <w:qFormat/>
  </w:style>
  <w:style w:type="character" w:styleId="835">
    <w:name w:val="Emphasis"/>
    <w:basedOn w:val="804"/>
    <w:uiPriority w:val="20"/>
    <w:qFormat/>
    <w:rPr>
      <w:i/>
    </w:rPr>
  </w:style>
  <w:style w:type="character" w:styleId="836">
    <w:name w:val="Hyperlink"/>
    <w:basedOn w:val="804"/>
    <w:uiPriority w:val="99"/>
    <w:unhideWhenUsed/>
    <w:qFormat/>
    <w:rPr>
      <w:color w:val="0000ff" w:themeColor="hyperlink"/>
      <w:u w:val="single"/>
      <w14:textFill>
        <w14:solidFill>
          <w14:schemeClr w14:val="hlink"/>
        </w14:solidFill>
      </w14:textFill>
    </w:rPr>
  </w:style>
  <w:style w:type="character" w:styleId="837">
    <w:name w:val="footnote reference"/>
    <w:uiPriority w:val="99"/>
    <w:unhideWhenUsed/>
    <w:qFormat/>
    <w:rPr>
      <w:vertAlign w:val="superscript"/>
    </w:rPr>
  </w:style>
  <w:style w:type="character" w:styleId="838" w:customStyle="1">
    <w:name w:val="Heading 1 Char"/>
    <w:basedOn w:val="804"/>
    <w:uiPriority w:val="9"/>
    <w:qFormat/>
    <w:rPr>
      <w:rFonts w:ascii="Arial" w:hAnsi="Arial" w:eastAsia="Arial" w:cs="Arial"/>
      <w:sz w:val="40"/>
      <w:szCs w:val="40"/>
    </w:rPr>
  </w:style>
  <w:style w:type="character" w:styleId="839" w:customStyle="1">
    <w:name w:val="Heading 2 Char"/>
    <w:basedOn w:val="804"/>
    <w:uiPriority w:val="9"/>
    <w:qFormat/>
    <w:rPr>
      <w:rFonts w:ascii="Arial" w:hAnsi="Arial" w:eastAsia="Arial" w:cs="Arial"/>
      <w:sz w:val="34"/>
    </w:rPr>
  </w:style>
  <w:style w:type="character" w:styleId="840" w:customStyle="1">
    <w:name w:val="Heading 3 Char"/>
    <w:basedOn w:val="804"/>
    <w:uiPriority w:val="9"/>
    <w:qFormat/>
    <w:rPr>
      <w:rFonts w:ascii="Arial" w:hAnsi="Arial" w:eastAsia="Arial" w:cs="Arial"/>
      <w:sz w:val="30"/>
      <w:szCs w:val="30"/>
    </w:rPr>
  </w:style>
  <w:style w:type="character" w:styleId="841" w:customStyle="1">
    <w:name w:val="Heading 4 Char"/>
    <w:basedOn w:val="804"/>
    <w:uiPriority w:val="9"/>
    <w:qFormat/>
    <w:rPr>
      <w:rFonts w:ascii="Arial" w:hAnsi="Arial" w:eastAsia="Arial" w:cs="Arial"/>
      <w:b/>
      <w:bCs/>
      <w:sz w:val="26"/>
      <w:szCs w:val="26"/>
    </w:rPr>
  </w:style>
  <w:style w:type="character" w:styleId="842" w:customStyle="1">
    <w:name w:val="Heading 5 Char"/>
    <w:basedOn w:val="804"/>
    <w:uiPriority w:val="9"/>
    <w:qFormat/>
    <w:rPr>
      <w:rFonts w:ascii="Arial" w:hAnsi="Arial" w:eastAsia="Arial" w:cs="Arial"/>
      <w:b/>
      <w:bCs/>
      <w:sz w:val="24"/>
      <w:szCs w:val="24"/>
    </w:rPr>
  </w:style>
  <w:style w:type="character" w:styleId="843" w:customStyle="1">
    <w:name w:val="Heading 6 Char"/>
    <w:basedOn w:val="804"/>
    <w:uiPriority w:val="9"/>
    <w:qFormat/>
    <w:rPr>
      <w:rFonts w:ascii="Arial" w:hAnsi="Arial" w:eastAsia="Arial" w:cs="Arial"/>
      <w:b/>
      <w:bCs/>
      <w:sz w:val="22"/>
      <w:szCs w:val="22"/>
    </w:rPr>
  </w:style>
  <w:style w:type="character" w:styleId="844" w:customStyle="1">
    <w:name w:val="Heading 7 Char"/>
    <w:basedOn w:val="804"/>
    <w:uiPriority w:val="9"/>
    <w:qFormat/>
    <w:rPr>
      <w:rFonts w:ascii="Arial" w:hAnsi="Arial" w:eastAsia="Arial" w:cs="Arial"/>
      <w:b/>
      <w:bCs/>
      <w:i/>
      <w:iCs/>
      <w:sz w:val="22"/>
      <w:szCs w:val="22"/>
    </w:rPr>
  </w:style>
  <w:style w:type="character" w:styleId="845" w:customStyle="1">
    <w:name w:val="Heading 8 Char"/>
    <w:basedOn w:val="804"/>
    <w:uiPriority w:val="9"/>
    <w:qFormat/>
    <w:rPr>
      <w:rFonts w:ascii="Arial" w:hAnsi="Arial" w:eastAsia="Arial" w:cs="Arial"/>
      <w:i/>
      <w:iCs/>
      <w:sz w:val="22"/>
      <w:szCs w:val="22"/>
    </w:rPr>
  </w:style>
  <w:style w:type="character" w:styleId="846" w:customStyle="1">
    <w:name w:val="Heading 9 Char"/>
    <w:basedOn w:val="804"/>
    <w:uiPriority w:val="9"/>
    <w:qFormat/>
    <w:rPr>
      <w:rFonts w:ascii="Arial" w:hAnsi="Arial" w:eastAsia="Arial" w:cs="Arial"/>
      <w:i/>
      <w:iCs/>
      <w:sz w:val="21"/>
      <w:szCs w:val="21"/>
    </w:rPr>
  </w:style>
  <w:style w:type="character" w:styleId="847" w:customStyle="1">
    <w:name w:val="Title Char"/>
    <w:basedOn w:val="804"/>
    <w:uiPriority w:val="10"/>
    <w:qFormat/>
    <w:rPr>
      <w:sz w:val="48"/>
      <w:szCs w:val="48"/>
    </w:rPr>
  </w:style>
  <w:style w:type="character" w:styleId="848" w:customStyle="1">
    <w:name w:val="Subtitle Char"/>
    <w:basedOn w:val="804"/>
    <w:uiPriority w:val="11"/>
    <w:qFormat/>
    <w:rPr>
      <w:sz w:val="24"/>
      <w:szCs w:val="24"/>
    </w:rPr>
  </w:style>
  <w:style w:type="character" w:styleId="849" w:customStyle="1">
    <w:name w:val="Header Char"/>
    <w:basedOn w:val="804"/>
    <w:uiPriority w:val="99"/>
    <w:qFormat/>
  </w:style>
  <w:style w:type="character" w:styleId="850" w:customStyle="1">
    <w:name w:val="Caption Char"/>
    <w:uiPriority w:val="99"/>
    <w:qFormat/>
  </w:style>
  <w:style w:type="table" w:styleId="851" w:customStyle="1">
    <w:name w:val="Plain Table 1"/>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basedOn w:val="8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basedOn w:val="8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2"/>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3"/>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4"/>
    <w:basedOn w:val="8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5 Dark"/>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1" w:customStyle="1">
    <w:name w:val="Grid Table 6 Colorful"/>
    <w:basedOn w:val="8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7 Colorful"/>
    <w:basedOn w:val="8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List Table 1 Light"/>
    <w:basedOn w:val="8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2"/>
    <w:basedOn w:val="8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3"/>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6" w:customStyle="1">
    <w:name w:val="List Table 4"/>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5 Dark"/>
    <w:basedOn w:val="8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6 Colorful"/>
    <w:basedOn w:val="8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9" w:customStyle="1">
    <w:name w:val="List Table 7 Colorful"/>
    <w:basedOn w:val="8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0" w:customStyle="1">
    <w:name w:val="Footnote Text Char"/>
    <w:uiPriority w:val="99"/>
    <w:qFormat/>
    <w:rPr>
      <w:sz w:val="18"/>
    </w:rPr>
  </w:style>
  <w:style w:type="character" w:styleId="871" w:customStyle="1">
    <w:name w:val="Endnote Text Char"/>
    <w:uiPriority w:val="99"/>
    <w:qFormat/>
    <w:rPr>
      <w:sz w:val="20"/>
    </w:rPr>
  </w:style>
  <w:style w:type="paragraph" w:styleId="872" w:customStyle="1">
    <w:name w:val="TOC Heading"/>
    <w:uiPriority w:val="39"/>
    <w:unhideWhenUsed/>
    <w:qFormat/>
    <w:rPr>
      <w:rFonts w:hint="default" w:ascii="Times New Roman" w:hAnsi="Times New Roman" w:eastAsia="宋体" w:cs="Times New Roman"/>
    </w:rPr>
  </w:style>
  <w:style w:type="paragraph" w:styleId="873" w:customStyle="1">
    <w:name w:val="正文1"/>
    <w:next w:val="87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4" w:customStyle="1">
    <w:name w:val="正文文本1"/>
    <w:basedOn w:val="873"/>
    <w:next w:val="875"/>
    <w:uiPriority w:val="0"/>
    <w:qFormat/>
    <w:pPr>
      <w:spacing w:after="120"/>
    </w:pPr>
    <w:rPr>
      <w:rFonts w:ascii="Calibri" w:hAnsi="Calibri"/>
    </w:rPr>
  </w:style>
  <w:style w:type="paragraph" w:styleId="875" w:customStyle="1">
    <w:name w:val="一级条标题"/>
    <w:basedOn w:val="876"/>
    <w:next w:val="87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6" w:customStyle="1">
    <w:name w:val="章标题"/>
    <w:next w:val="87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77" w:customStyle="1">
    <w:name w:val="段"/>
    <w:basedOn w:val="878"/>
    <w:next w:val="794"/>
    <w:uiPriority w:val="0"/>
    <w:qFormat/>
    <w:pPr>
      <w:ind w:firstLine="200"/>
    </w:pPr>
    <w:rPr>
      <w:rFonts w:hint="eastAsia" w:ascii="宋体"/>
    </w:rPr>
  </w:style>
  <w:style w:type="paragraph" w:styleId="878" w:customStyle="1">
    <w:name w:val="正文13"/>
    <w:next w:val="87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9" w:customStyle="1">
    <w:name w:val="目录 111"/>
    <w:basedOn w:val="878"/>
    <w:next w:val="880"/>
    <w:uiPriority w:val="0"/>
    <w:qFormat/>
    <w:pPr>
      <w:spacing w:after="57"/>
    </w:pPr>
  </w:style>
  <w:style w:type="paragraph" w:styleId="880" w:customStyle="1">
    <w:name w:val="正文12"/>
    <w:next w:val="88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1" w:customStyle="1">
    <w:name w:val="标题 21"/>
    <w:basedOn w:val="882"/>
    <w:next w:val="880"/>
    <w:uiPriority w:val="9"/>
    <w:qFormat/>
    <w:pPr>
      <w:keepLines/>
      <w:keepNext/>
      <w:spacing w:before="360" w:after="200"/>
      <w:outlineLvl w:val="1"/>
    </w:pPr>
    <w:rPr>
      <w:rFonts w:ascii="Arial" w:hAnsi="Arial" w:eastAsia="Arial"/>
      <w:sz w:val="34"/>
      <w:szCs w:val="20"/>
    </w:rPr>
  </w:style>
  <w:style w:type="paragraph" w:styleId="882" w:customStyle="1">
    <w:name w:val="正文111"/>
    <w:next w:val="794"/>
    <w:link w:val="1117"/>
    <w:uiPriority w:val="0"/>
    <w:qFormat/>
    <w:pPr>
      <w:jc w:val="both"/>
      <w:widowControl w:val="off"/>
    </w:pPr>
    <w:rPr>
      <w:rFonts w:hint="default" w:ascii="Calibri" w:hAnsi="Calibri" w:eastAsia="宋体" w:cs="Calibri"/>
      <w:color w:val="000000"/>
      <w:sz w:val="22"/>
      <w:szCs w:val="22"/>
      <w:lang w:val="en-US" w:eastAsia="zh-CN" w:bidi="ar-SA"/>
    </w:rPr>
  </w:style>
  <w:style w:type="paragraph" w:styleId="883" w:customStyle="1">
    <w:name w:val="正文11"/>
    <w:next w:val="884"/>
    <w:uiPriority w:val="0"/>
    <w:qFormat/>
    <w:pPr>
      <w:jc w:val="both"/>
    </w:pPr>
    <w:rPr>
      <w:rFonts w:hint="default" w:ascii="Times New Roman" w:hAnsi="Times New Roman" w:eastAsia="宋体" w:cs="Times New Roman"/>
      <w:lang w:val="en-US" w:eastAsia="zh-CN" w:bidi="ar-SA"/>
    </w:rPr>
  </w:style>
  <w:style w:type="paragraph" w:styleId="884" w:customStyle="1">
    <w:name w:val="文本块1"/>
    <w:basedOn w:val="882"/>
    <w:uiPriority w:val="0"/>
    <w:qFormat/>
    <w:pPr>
      <w:ind w:left="256" w:right="6" w:firstLine="624"/>
    </w:pPr>
    <w:rPr>
      <w:rFonts w:eastAsia="仿宋_GB2312"/>
      <w:sz w:val="28"/>
    </w:rPr>
  </w:style>
  <w:style w:type="paragraph" w:styleId="885" w:customStyle="1">
    <w:name w:val="标题 111"/>
    <w:basedOn w:val="883"/>
    <w:next w:val="883"/>
    <w:uiPriority w:val="0"/>
    <w:qFormat/>
    <w:pPr>
      <w:jc w:val="center"/>
      <w:keepLines/>
      <w:keepNext/>
      <w:spacing w:line="578" w:lineRule="auto"/>
      <w:outlineLvl w:val="0"/>
    </w:pPr>
    <w:rPr>
      <w:rFonts w:eastAsia="新宋体"/>
      <w:b/>
      <w:bCs/>
      <w:sz w:val="30"/>
      <w:szCs w:val="44"/>
    </w:rPr>
  </w:style>
  <w:style w:type="character" w:styleId="886" w:customStyle="1">
    <w:name w:val="标题 1 Char"/>
    <w:link w:val="887"/>
    <w:uiPriority w:val="0"/>
    <w:qFormat/>
    <w:rPr>
      <w:rFonts w:eastAsia="新宋体"/>
      <w:b/>
      <w:bCs/>
      <w:sz w:val="30"/>
      <w:szCs w:val="44"/>
    </w:rPr>
  </w:style>
  <w:style w:type="paragraph" w:styleId="887" w:customStyle="1">
    <w:name w:val="标题 11"/>
    <w:basedOn w:val="880"/>
    <w:next w:val="880"/>
    <w:link w:val="886"/>
    <w:uiPriority w:val="0"/>
    <w:qFormat/>
    <w:pPr>
      <w:jc w:val="center"/>
      <w:keepLines/>
      <w:keepNext/>
      <w:spacing w:line="578" w:lineRule="auto"/>
      <w:outlineLvl w:val="0"/>
    </w:pPr>
    <w:rPr>
      <w:rFonts w:eastAsia="新宋体"/>
      <w:b/>
      <w:bCs/>
      <w:sz w:val="30"/>
      <w:szCs w:val="44"/>
    </w:rPr>
  </w:style>
  <w:style w:type="paragraph" w:styleId="888" w:customStyle="1">
    <w:name w:val="文本块11"/>
    <w:basedOn w:val="880"/>
    <w:uiPriority w:val="0"/>
    <w:qFormat/>
    <w:pPr>
      <w:ind w:left="256" w:right="6" w:firstLine="624"/>
    </w:pPr>
    <w:rPr>
      <w:rFonts w:eastAsia="仿宋_GB2312"/>
      <w:sz w:val="28"/>
      <w:szCs w:val="20"/>
    </w:rPr>
  </w:style>
  <w:style w:type="character" w:styleId="889" w:customStyle="1">
    <w:name w:val="标题 3 Char"/>
    <w:link w:val="890"/>
    <w:uiPriority w:val="9"/>
    <w:qFormat/>
    <w:rPr>
      <w:rFonts w:ascii="Arial" w:hAnsi="Arial" w:eastAsia="Arial" w:cs="Arial"/>
      <w:sz w:val="30"/>
      <w:szCs w:val="30"/>
    </w:rPr>
  </w:style>
  <w:style w:type="paragraph" w:styleId="890" w:customStyle="1">
    <w:name w:val="标题 311"/>
    <w:basedOn w:val="794"/>
    <w:next w:val="794"/>
    <w:link w:val="889"/>
    <w:uiPriority w:val="9"/>
    <w:unhideWhenUsed/>
    <w:qFormat/>
    <w:pPr>
      <w:keepLines/>
      <w:keepNext/>
      <w:spacing w:before="320" w:after="200"/>
      <w:outlineLvl w:val="2"/>
    </w:pPr>
    <w:rPr>
      <w:rFonts w:ascii="Arial" w:hAnsi="Arial" w:eastAsia="Arial" w:cs="Arial"/>
      <w:sz w:val="30"/>
      <w:szCs w:val="30"/>
    </w:rPr>
  </w:style>
  <w:style w:type="paragraph" w:styleId="891" w:customStyle="1">
    <w:name w:val="文本块2"/>
    <w:basedOn w:val="794"/>
    <w:uiPriority w:val="0"/>
    <w:qFormat/>
    <w:pPr>
      <w:ind w:left="256" w:right="6" w:firstLine="624"/>
    </w:pPr>
    <w:rPr>
      <w:rFonts w:eastAsia="仿宋_GB2312"/>
      <w:sz w:val="28"/>
      <w:szCs w:val="20"/>
    </w:rPr>
  </w:style>
  <w:style w:type="character" w:styleId="892" w:customStyle="1">
    <w:name w:val="标题 1 字符"/>
    <w:link w:val="795"/>
    <w:uiPriority w:val="9"/>
    <w:qFormat/>
    <w:rPr>
      <w:rFonts w:ascii="Arial" w:hAnsi="Arial" w:eastAsia="Arial" w:cs="Arial"/>
      <w:sz w:val="40"/>
      <w:szCs w:val="40"/>
    </w:rPr>
  </w:style>
  <w:style w:type="character" w:styleId="893" w:customStyle="1">
    <w:name w:val="标题 2 字符"/>
    <w:link w:val="796"/>
    <w:uiPriority w:val="9"/>
    <w:qFormat/>
    <w:rPr>
      <w:rFonts w:ascii="Arial" w:hAnsi="Arial" w:eastAsia="Arial" w:cs="Arial"/>
      <w:sz w:val="34"/>
    </w:rPr>
  </w:style>
  <w:style w:type="character" w:styleId="894" w:customStyle="1">
    <w:name w:val="标题 3 字符"/>
    <w:link w:val="797"/>
    <w:uiPriority w:val="9"/>
    <w:qFormat/>
    <w:rPr>
      <w:rFonts w:ascii="Arial" w:hAnsi="Arial" w:eastAsia="Arial" w:cs="Arial"/>
      <w:sz w:val="30"/>
      <w:szCs w:val="30"/>
    </w:rPr>
  </w:style>
  <w:style w:type="character" w:styleId="895" w:customStyle="1">
    <w:name w:val="标题 4 字符"/>
    <w:link w:val="798"/>
    <w:uiPriority w:val="9"/>
    <w:qFormat/>
    <w:rPr>
      <w:rFonts w:ascii="Arial" w:hAnsi="Arial" w:eastAsia="Arial" w:cs="Arial"/>
      <w:b/>
      <w:bCs/>
      <w:sz w:val="26"/>
      <w:szCs w:val="26"/>
    </w:rPr>
  </w:style>
  <w:style w:type="character" w:styleId="896" w:customStyle="1">
    <w:name w:val="标题 5 字符"/>
    <w:link w:val="799"/>
    <w:uiPriority w:val="9"/>
    <w:qFormat/>
    <w:rPr>
      <w:rFonts w:ascii="Arial" w:hAnsi="Arial" w:eastAsia="Arial" w:cs="Arial"/>
      <w:b/>
      <w:bCs/>
      <w:sz w:val="24"/>
      <w:szCs w:val="24"/>
    </w:rPr>
  </w:style>
  <w:style w:type="character" w:styleId="897" w:customStyle="1">
    <w:name w:val="标题 6 字符"/>
    <w:link w:val="800"/>
    <w:uiPriority w:val="9"/>
    <w:qFormat/>
    <w:rPr>
      <w:rFonts w:ascii="Arial" w:hAnsi="Arial" w:eastAsia="Arial" w:cs="Arial"/>
      <w:b/>
      <w:bCs/>
      <w:sz w:val="22"/>
      <w:szCs w:val="22"/>
    </w:rPr>
  </w:style>
  <w:style w:type="character" w:styleId="898" w:customStyle="1">
    <w:name w:val="标题 7 字符"/>
    <w:link w:val="801"/>
    <w:uiPriority w:val="9"/>
    <w:qFormat/>
    <w:rPr>
      <w:rFonts w:ascii="Arial" w:hAnsi="Arial" w:eastAsia="Arial" w:cs="Arial"/>
      <w:b/>
      <w:bCs/>
      <w:i/>
      <w:iCs/>
      <w:sz w:val="22"/>
      <w:szCs w:val="22"/>
    </w:rPr>
  </w:style>
  <w:style w:type="character" w:styleId="899" w:customStyle="1">
    <w:name w:val="标题 8 字符"/>
    <w:link w:val="802"/>
    <w:uiPriority w:val="9"/>
    <w:qFormat/>
    <w:rPr>
      <w:rFonts w:ascii="Arial" w:hAnsi="Arial" w:eastAsia="Arial" w:cs="Arial"/>
      <w:i/>
      <w:iCs/>
      <w:sz w:val="22"/>
      <w:szCs w:val="22"/>
    </w:rPr>
  </w:style>
  <w:style w:type="character" w:styleId="900" w:customStyle="1">
    <w:name w:val="标题 9 字符"/>
    <w:link w:val="803"/>
    <w:uiPriority w:val="9"/>
    <w:qFormat/>
    <w:rPr>
      <w:rFonts w:ascii="Arial" w:hAnsi="Arial" w:eastAsia="Arial" w:cs="Arial"/>
      <w:i/>
      <w:iCs/>
      <w:sz w:val="21"/>
      <w:szCs w:val="21"/>
    </w:rPr>
  </w:style>
  <w:style w:type="character" w:styleId="901" w:customStyle="1">
    <w:name w:val="标题 字符"/>
    <w:link w:val="830"/>
    <w:uiPriority w:val="10"/>
    <w:qFormat/>
    <w:rPr>
      <w:sz w:val="48"/>
      <w:szCs w:val="48"/>
    </w:rPr>
  </w:style>
  <w:style w:type="character" w:styleId="902" w:customStyle="1">
    <w:name w:val="副标题 字符"/>
    <w:link w:val="823"/>
    <w:uiPriority w:val="11"/>
    <w:qFormat/>
    <w:rPr>
      <w:sz w:val="24"/>
      <w:szCs w:val="24"/>
    </w:rPr>
  </w:style>
  <w:style w:type="character" w:styleId="903" w:customStyle="1">
    <w:name w:val="Quote Char"/>
    <w:uiPriority w:val="29"/>
    <w:qFormat/>
    <w:rPr>
      <w:i/>
    </w:rPr>
  </w:style>
  <w:style w:type="character" w:styleId="904" w:customStyle="1">
    <w:name w:val="Intense Quote Char"/>
    <w:uiPriority w:val="30"/>
    <w:qFormat/>
    <w:rPr>
      <w:i/>
    </w:rPr>
  </w:style>
  <w:style w:type="character" w:styleId="905" w:customStyle="1">
    <w:name w:val="页眉 字符"/>
    <w:link w:val="820"/>
    <w:uiPriority w:val="99"/>
    <w:qFormat/>
  </w:style>
  <w:style w:type="character" w:styleId="906" w:customStyle="1">
    <w:name w:val="页脚 字符"/>
    <w:link w:val="819"/>
    <w:uiPriority w:val="99"/>
    <w:qFormat/>
  </w:style>
  <w:style w:type="character" w:styleId="907" w:customStyle="1">
    <w:name w:val="脚注文本 字符"/>
    <w:link w:val="824"/>
    <w:uiPriority w:val="99"/>
    <w:qFormat/>
    <w:rPr>
      <w:sz w:val="18"/>
    </w:rPr>
  </w:style>
  <w:style w:type="character" w:styleId="908" w:customStyle="1">
    <w:name w:val="尾注文本 字符"/>
    <w:link w:val="818"/>
    <w:uiPriority w:val="99"/>
    <w:qFormat/>
    <w:rPr>
      <w:sz w:val="20"/>
    </w:rPr>
  </w:style>
  <w:style w:type="paragraph" w:styleId="909" w:customStyle="1">
    <w:name w:val="TOC 标题1"/>
    <w:uiPriority w:val="39"/>
    <w:unhideWhenUsed/>
    <w:qFormat/>
    <w:rPr>
      <w:rFonts w:hint="default" w:ascii="Times New Roman" w:hAnsi="Times New Roman" w:eastAsia="宋体" w:cs="Times New Roman"/>
      <w:lang w:val="en-US" w:eastAsia="zh-CN" w:bidi="ar-SA"/>
    </w:rPr>
  </w:style>
  <w:style w:type="paragraph" w:styleId="910" w:customStyle="1">
    <w:name w:val="标题 1111"/>
    <w:basedOn w:val="794"/>
    <w:next w:val="794"/>
    <w:link w:val="921"/>
    <w:uiPriority w:val="9"/>
    <w:qFormat/>
    <w:pPr>
      <w:keepLines/>
      <w:keepNext/>
      <w:spacing w:before="480" w:after="200"/>
      <w:outlineLvl w:val="0"/>
    </w:pPr>
    <w:rPr>
      <w:rFonts w:ascii="Arial" w:hAnsi="Arial" w:eastAsia="Arial" w:cs="Arial"/>
      <w:sz w:val="40"/>
      <w:szCs w:val="40"/>
    </w:rPr>
  </w:style>
  <w:style w:type="paragraph" w:styleId="911" w:customStyle="1">
    <w:name w:val="标题 211"/>
    <w:basedOn w:val="794"/>
    <w:next w:val="883"/>
    <w:link w:val="922"/>
    <w:uiPriority w:val="9"/>
    <w:unhideWhenUsed/>
    <w:qFormat/>
    <w:pPr>
      <w:keepLines/>
      <w:keepNext/>
      <w:spacing w:before="360" w:after="200"/>
      <w:outlineLvl w:val="1"/>
    </w:pPr>
    <w:rPr>
      <w:rFonts w:ascii="Calibri Light" w:hAnsi="Calibri Light"/>
      <w:bCs/>
      <w:sz w:val="32"/>
      <w:szCs w:val="32"/>
    </w:rPr>
  </w:style>
  <w:style w:type="paragraph" w:styleId="912" w:customStyle="1">
    <w:name w:val="标题 411"/>
    <w:basedOn w:val="794"/>
    <w:next w:val="794"/>
    <w:link w:val="923"/>
    <w:uiPriority w:val="9"/>
    <w:unhideWhenUsed/>
    <w:qFormat/>
    <w:pPr>
      <w:keepLines/>
      <w:keepNext/>
      <w:spacing w:before="320" w:after="200"/>
      <w:outlineLvl w:val="3"/>
    </w:pPr>
    <w:rPr>
      <w:rFonts w:ascii="Arial" w:hAnsi="Arial" w:eastAsia="Arial" w:cs="Arial"/>
      <w:b/>
      <w:bCs/>
      <w:sz w:val="26"/>
      <w:szCs w:val="26"/>
    </w:rPr>
  </w:style>
  <w:style w:type="paragraph" w:styleId="913" w:customStyle="1">
    <w:name w:val="标题 51"/>
    <w:basedOn w:val="794"/>
    <w:next w:val="794"/>
    <w:link w:val="924"/>
    <w:uiPriority w:val="9"/>
    <w:unhideWhenUsed/>
    <w:qFormat/>
    <w:pPr>
      <w:keepLines/>
      <w:keepNext/>
      <w:spacing w:before="320" w:after="200"/>
      <w:outlineLvl w:val="4"/>
    </w:pPr>
    <w:rPr>
      <w:rFonts w:ascii="Arial" w:hAnsi="Arial" w:eastAsia="Arial" w:cs="Arial"/>
      <w:b/>
      <w:bCs/>
      <w:sz w:val="24"/>
      <w:szCs w:val="24"/>
    </w:rPr>
  </w:style>
  <w:style w:type="paragraph" w:styleId="914" w:customStyle="1">
    <w:name w:val="标题 61"/>
    <w:basedOn w:val="794"/>
    <w:next w:val="794"/>
    <w:link w:val="925"/>
    <w:uiPriority w:val="9"/>
    <w:unhideWhenUsed/>
    <w:qFormat/>
    <w:pPr>
      <w:keepLines/>
      <w:keepNext/>
      <w:spacing w:before="320" w:after="200"/>
      <w:outlineLvl w:val="5"/>
    </w:pPr>
    <w:rPr>
      <w:rFonts w:ascii="Arial" w:hAnsi="Arial" w:eastAsia="Arial" w:cs="Arial"/>
      <w:b/>
      <w:bCs/>
      <w:sz w:val="22"/>
      <w:szCs w:val="22"/>
    </w:rPr>
  </w:style>
  <w:style w:type="paragraph" w:styleId="915" w:customStyle="1">
    <w:name w:val="标题 71"/>
    <w:basedOn w:val="794"/>
    <w:next w:val="794"/>
    <w:link w:val="926"/>
    <w:uiPriority w:val="9"/>
    <w:unhideWhenUsed/>
    <w:qFormat/>
    <w:pPr>
      <w:keepLines/>
      <w:keepNext/>
      <w:spacing w:before="320" w:after="200"/>
      <w:outlineLvl w:val="6"/>
    </w:pPr>
    <w:rPr>
      <w:rFonts w:ascii="Arial" w:hAnsi="Arial" w:eastAsia="Arial" w:cs="Arial"/>
      <w:b/>
      <w:bCs/>
      <w:i/>
      <w:iCs/>
      <w:sz w:val="22"/>
      <w:szCs w:val="22"/>
    </w:rPr>
  </w:style>
  <w:style w:type="paragraph" w:styleId="916" w:customStyle="1">
    <w:name w:val="标题 81"/>
    <w:basedOn w:val="794"/>
    <w:next w:val="794"/>
    <w:link w:val="927"/>
    <w:uiPriority w:val="9"/>
    <w:unhideWhenUsed/>
    <w:qFormat/>
    <w:pPr>
      <w:keepLines/>
      <w:keepNext/>
      <w:spacing w:before="320" w:after="200"/>
      <w:outlineLvl w:val="7"/>
    </w:pPr>
    <w:rPr>
      <w:rFonts w:ascii="Arial" w:hAnsi="Arial" w:eastAsia="Arial" w:cs="Arial"/>
      <w:i/>
      <w:iCs/>
      <w:sz w:val="22"/>
      <w:szCs w:val="22"/>
    </w:rPr>
  </w:style>
  <w:style w:type="paragraph" w:styleId="917" w:customStyle="1">
    <w:name w:val="标题 91"/>
    <w:basedOn w:val="794"/>
    <w:next w:val="794"/>
    <w:link w:val="928"/>
    <w:uiPriority w:val="9"/>
    <w:unhideWhenUsed/>
    <w:qFormat/>
    <w:pPr>
      <w:keepLines/>
      <w:keepNext/>
      <w:spacing w:before="320" w:after="200"/>
      <w:outlineLvl w:val="8"/>
    </w:pPr>
    <w:rPr>
      <w:rFonts w:ascii="Arial" w:hAnsi="Arial" w:eastAsia="Arial" w:cs="Arial"/>
      <w:i/>
      <w:iCs/>
    </w:rPr>
  </w:style>
  <w:style w:type="character" w:styleId="918" w:customStyle="1">
    <w:name w:val="默认段落字体11"/>
    <w:uiPriority w:val="1"/>
    <w:unhideWhenUsed/>
    <w:qFormat/>
  </w:style>
  <w:style w:type="table" w:styleId="919" w:customStyle="1">
    <w:name w:val="普通表格11"/>
    <w:uiPriority w:val="99"/>
    <w:unhideWhenUsed/>
    <w:qFormat/>
    <w:tblPr>
      <w:tblCellMar>
        <w:left w:w="0" w:type="dxa"/>
        <w:top w:w="0" w:type="dxa"/>
        <w:right w:w="0" w:type="dxa"/>
        <w:bottom w:w="0" w:type="dxa"/>
      </w:tblCellMar>
    </w:tblPr>
  </w:style>
  <w:style w:type="paragraph" w:styleId="920" w:customStyle="1">
    <w:name w:val="文本块12"/>
    <w:basedOn w:val="794"/>
    <w:uiPriority w:val="0"/>
    <w:qFormat/>
    <w:pPr>
      <w:ind w:left="420" w:right="33"/>
      <w:jc w:val="left"/>
    </w:pPr>
    <w:rPr>
      <w:sz w:val="24"/>
      <w:szCs w:val="20"/>
    </w:rPr>
  </w:style>
  <w:style w:type="character" w:styleId="921" w:customStyle="1">
    <w:name w:val="标题 1 Char1"/>
    <w:link w:val="910"/>
    <w:uiPriority w:val="9"/>
    <w:qFormat/>
    <w:rPr>
      <w:rFonts w:ascii="Arial" w:hAnsi="Arial" w:eastAsia="Arial" w:cs="Arial"/>
      <w:sz w:val="40"/>
      <w:szCs w:val="40"/>
    </w:rPr>
  </w:style>
  <w:style w:type="character" w:styleId="922" w:customStyle="1">
    <w:name w:val="标题 2 Char"/>
    <w:link w:val="911"/>
    <w:uiPriority w:val="9"/>
    <w:qFormat/>
    <w:rPr>
      <w:rFonts w:ascii="Arial" w:hAnsi="Arial" w:eastAsia="Arial" w:cs="Arial"/>
      <w:sz w:val="34"/>
    </w:rPr>
  </w:style>
  <w:style w:type="character" w:styleId="923" w:customStyle="1">
    <w:name w:val="标题 4 Char"/>
    <w:link w:val="912"/>
    <w:uiPriority w:val="9"/>
    <w:qFormat/>
    <w:rPr>
      <w:rFonts w:ascii="Arial" w:hAnsi="Arial" w:eastAsia="Arial" w:cs="Arial"/>
      <w:b/>
      <w:bCs/>
      <w:sz w:val="26"/>
      <w:szCs w:val="26"/>
    </w:rPr>
  </w:style>
  <w:style w:type="character" w:styleId="924" w:customStyle="1">
    <w:name w:val="标题 5 Char"/>
    <w:link w:val="913"/>
    <w:uiPriority w:val="9"/>
    <w:qFormat/>
    <w:rPr>
      <w:rFonts w:ascii="Arial" w:hAnsi="Arial" w:eastAsia="Arial" w:cs="Arial"/>
      <w:b/>
      <w:bCs/>
      <w:sz w:val="24"/>
      <w:szCs w:val="24"/>
    </w:rPr>
  </w:style>
  <w:style w:type="character" w:styleId="925" w:customStyle="1">
    <w:name w:val="标题 6 Char"/>
    <w:link w:val="914"/>
    <w:uiPriority w:val="9"/>
    <w:qFormat/>
    <w:rPr>
      <w:rFonts w:ascii="Arial" w:hAnsi="Arial" w:eastAsia="Arial" w:cs="Arial"/>
      <w:b/>
      <w:bCs/>
      <w:sz w:val="22"/>
      <w:szCs w:val="22"/>
    </w:rPr>
  </w:style>
  <w:style w:type="character" w:styleId="926" w:customStyle="1">
    <w:name w:val="标题 7 Char"/>
    <w:link w:val="915"/>
    <w:uiPriority w:val="9"/>
    <w:qFormat/>
    <w:rPr>
      <w:rFonts w:ascii="Arial" w:hAnsi="Arial" w:eastAsia="Arial" w:cs="Arial"/>
      <w:b/>
      <w:bCs/>
      <w:i/>
      <w:iCs/>
      <w:sz w:val="22"/>
      <w:szCs w:val="22"/>
    </w:rPr>
  </w:style>
  <w:style w:type="character" w:styleId="927" w:customStyle="1">
    <w:name w:val="标题 8 Char"/>
    <w:link w:val="916"/>
    <w:uiPriority w:val="9"/>
    <w:qFormat/>
    <w:rPr>
      <w:rFonts w:ascii="Arial" w:hAnsi="Arial" w:eastAsia="Arial" w:cs="Arial"/>
      <w:i/>
      <w:iCs/>
      <w:sz w:val="22"/>
      <w:szCs w:val="22"/>
    </w:rPr>
  </w:style>
  <w:style w:type="character" w:styleId="928" w:customStyle="1">
    <w:name w:val="标题 9 Char"/>
    <w:link w:val="917"/>
    <w:uiPriority w:val="9"/>
    <w:qFormat/>
    <w:rPr>
      <w:rFonts w:ascii="Arial" w:hAnsi="Arial" w:eastAsia="Arial" w:cs="Arial"/>
      <w:i/>
      <w:iCs/>
      <w:sz w:val="21"/>
      <w:szCs w:val="21"/>
    </w:rPr>
  </w:style>
  <w:style w:type="paragraph" w:styleId="929" w:customStyle="1">
    <w:name w:val="目录 71"/>
    <w:basedOn w:val="794"/>
    <w:next w:val="794"/>
    <w:uiPriority w:val="39"/>
    <w:unhideWhenUsed/>
    <w:qFormat/>
    <w:pPr>
      <w:ind w:left="1701"/>
      <w:spacing w:after="57"/>
    </w:pPr>
  </w:style>
  <w:style w:type="paragraph" w:styleId="930" w:customStyle="1">
    <w:name w:val="题注1"/>
    <w:basedOn w:val="794"/>
    <w:next w:val="794"/>
    <w:uiPriority w:val="35"/>
    <w:unhideWhenUsed/>
    <w:qFormat/>
    <w:pPr>
      <w:spacing w:line="276" w:lineRule="auto"/>
    </w:pPr>
    <w:rPr>
      <w:b/>
      <w:bCs/>
      <w:color w:val="4f81bd"/>
      <w:sz w:val="18"/>
      <w:szCs w:val="18"/>
    </w:rPr>
  </w:style>
  <w:style w:type="paragraph" w:styleId="931" w:customStyle="1">
    <w:name w:val="索引 5111"/>
    <w:basedOn w:val="794"/>
    <w:next w:val="794"/>
    <w:uiPriority w:val="0"/>
    <w:qFormat/>
    <w:pPr>
      <w:ind w:left="798"/>
    </w:pPr>
    <w:rPr>
      <w:rFonts w:ascii="Calibri" w:hAnsi="Calibri"/>
    </w:rPr>
  </w:style>
  <w:style w:type="paragraph" w:styleId="932" w:customStyle="1">
    <w:name w:val="引文目录标题1"/>
    <w:basedOn w:val="794"/>
    <w:next w:val="794"/>
    <w:uiPriority w:val="99"/>
    <w:qFormat/>
    <w:pPr>
      <w:spacing w:before="120"/>
    </w:pPr>
    <w:rPr>
      <w:rFonts w:ascii="Cambria" w:hAnsi="Cambria" w:cs="Cambria"/>
      <w:sz w:val="24"/>
    </w:rPr>
  </w:style>
  <w:style w:type="paragraph" w:styleId="933" w:customStyle="1">
    <w:name w:val="批注文字11"/>
    <w:basedOn w:val="794"/>
    <w:link w:val="934"/>
    <w:uiPriority w:val="99"/>
    <w:unhideWhenUsed/>
    <w:qFormat/>
    <w:pPr>
      <w:jc w:val="left"/>
    </w:pPr>
  </w:style>
  <w:style w:type="character" w:styleId="934" w:customStyle="1">
    <w:name w:val="批注文字 Char"/>
    <w:basedOn w:val="918"/>
    <w:link w:val="933"/>
    <w:uiPriority w:val="99"/>
    <w:semiHidden/>
    <w:qFormat/>
    <w:rPr>
      <w:sz w:val="21"/>
      <w:szCs w:val="21"/>
    </w:rPr>
  </w:style>
  <w:style w:type="paragraph" w:styleId="935" w:customStyle="1">
    <w:name w:val="正文文本缩进111"/>
    <w:basedOn w:val="794"/>
    <w:next w:val="936"/>
    <w:uiPriority w:val="0"/>
    <w:qFormat/>
    <w:pPr>
      <w:ind w:left="420"/>
      <w:spacing w:after="120"/>
    </w:pPr>
  </w:style>
  <w:style w:type="paragraph" w:styleId="936" w:customStyle="1">
    <w:name w:val="寄信人地址11"/>
    <w:basedOn w:val="794"/>
    <w:uiPriority w:val="0"/>
    <w:qFormat/>
    <w:rPr>
      <w:rFonts w:ascii="Arial" w:hAnsi="Arial"/>
    </w:rPr>
  </w:style>
  <w:style w:type="paragraph" w:styleId="937" w:customStyle="1">
    <w:name w:val="目录 51"/>
    <w:basedOn w:val="794"/>
    <w:next w:val="794"/>
    <w:uiPriority w:val="39"/>
    <w:unhideWhenUsed/>
    <w:qFormat/>
    <w:pPr>
      <w:ind w:left="1134"/>
      <w:spacing w:after="57"/>
    </w:pPr>
  </w:style>
  <w:style w:type="paragraph" w:styleId="938" w:customStyle="1">
    <w:name w:val="目录 31"/>
    <w:basedOn w:val="794"/>
    <w:next w:val="794"/>
    <w:uiPriority w:val="39"/>
    <w:unhideWhenUsed/>
    <w:qFormat/>
    <w:pPr>
      <w:ind w:left="567"/>
      <w:spacing w:after="57"/>
    </w:pPr>
  </w:style>
  <w:style w:type="paragraph" w:styleId="939" w:customStyle="1">
    <w:name w:val="纯文本11"/>
    <w:basedOn w:val="794"/>
    <w:uiPriority w:val="0"/>
    <w:qFormat/>
    <w:rPr>
      <w:rFonts w:ascii="宋体" w:hAnsi="Courier New" w:eastAsia="仿宋_GB2312"/>
      <w:sz w:val="30"/>
      <w:szCs w:val="20"/>
    </w:rPr>
  </w:style>
  <w:style w:type="paragraph" w:styleId="940" w:customStyle="1">
    <w:name w:val="目录 81"/>
    <w:basedOn w:val="794"/>
    <w:next w:val="794"/>
    <w:uiPriority w:val="39"/>
    <w:unhideWhenUsed/>
    <w:qFormat/>
    <w:pPr>
      <w:ind w:left="1984"/>
      <w:spacing w:after="57"/>
    </w:pPr>
  </w:style>
  <w:style w:type="paragraph" w:styleId="941" w:customStyle="1">
    <w:name w:val="尾注文本1"/>
    <w:basedOn w:val="794"/>
    <w:link w:val="942"/>
    <w:uiPriority w:val="99"/>
    <w:unhideWhenUsed/>
    <w:qFormat/>
    <w:rPr>
      <w:sz w:val="20"/>
    </w:rPr>
  </w:style>
  <w:style w:type="character" w:styleId="942" w:customStyle="1">
    <w:name w:val="尾注文本 Char"/>
    <w:link w:val="941"/>
    <w:uiPriority w:val="99"/>
    <w:qFormat/>
    <w:rPr>
      <w:sz w:val="20"/>
    </w:rPr>
  </w:style>
  <w:style w:type="paragraph" w:styleId="943" w:customStyle="1">
    <w:name w:val="批注框文本11"/>
    <w:basedOn w:val="794"/>
    <w:link w:val="944"/>
    <w:uiPriority w:val="99"/>
    <w:unhideWhenUsed/>
    <w:qFormat/>
    <w:rPr>
      <w:sz w:val="18"/>
      <w:szCs w:val="18"/>
    </w:rPr>
  </w:style>
  <w:style w:type="character" w:styleId="944" w:customStyle="1">
    <w:name w:val="批注框文本 Char1"/>
    <w:basedOn w:val="918"/>
    <w:link w:val="943"/>
    <w:uiPriority w:val="99"/>
    <w:semiHidden/>
    <w:qFormat/>
    <w:rPr>
      <w:sz w:val="18"/>
      <w:szCs w:val="18"/>
    </w:rPr>
  </w:style>
  <w:style w:type="paragraph" w:styleId="945" w:customStyle="1">
    <w:name w:val="页脚11"/>
    <w:basedOn w:val="794"/>
    <w:link w:val="946"/>
    <w:uiPriority w:val="99"/>
    <w:unhideWhenUsed/>
    <w:qFormat/>
    <w:pPr>
      <w:tabs>
        <w:tab w:val="center" w:pos="7143" w:leader="none"/>
        <w:tab w:val="right" w:pos="14287" w:leader="none"/>
      </w:tabs>
    </w:pPr>
  </w:style>
  <w:style w:type="character" w:styleId="946" w:customStyle="1">
    <w:name w:val="页脚 Char"/>
    <w:link w:val="945"/>
    <w:uiPriority w:val="99"/>
    <w:qFormat/>
  </w:style>
  <w:style w:type="paragraph" w:styleId="947" w:customStyle="1">
    <w:name w:val="页眉11"/>
    <w:basedOn w:val="794"/>
    <w:link w:val="948"/>
    <w:uiPriority w:val="99"/>
    <w:unhideWhenUsed/>
    <w:qFormat/>
    <w:pPr>
      <w:tabs>
        <w:tab w:val="center" w:pos="7143" w:leader="none"/>
        <w:tab w:val="right" w:pos="14287" w:leader="none"/>
      </w:tabs>
    </w:pPr>
  </w:style>
  <w:style w:type="character" w:styleId="948" w:customStyle="1">
    <w:name w:val="页眉 Char"/>
    <w:link w:val="947"/>
    <w:uiPriority w:val="99"/>
    <w:qFormat/>
  </w:style>
  <w:style w:type="paragraph" w:styleId="949" w:customStyle="1">
    <w:name w:val="目录 1111"/>
    <w:basedOn w:val="794"/>
    <w:next w:val="794"/>
    <w:uiPriority w:val="39"/>
    <w:unhideWhenUsed/>
    <w:qFormat/>
    <w:pPr>
      <w:spacing w:after="57"/>
    </w:pPr>
  </w:style>
  <w:style w:type="paragraph" w:styleId="950" w:customStyle="1">
    <w:name w:val="目录 41"/>
    <w:basedOn w:val="794"/>
    <w:next w:val="794"/>
    <w:uiPriority w:val="39"/>
    <w:unhideWhenUsed/>
    <w:qFormat/>
    <w:pPr>
      <w:ind w:left="850"/>
      <w:spacing w:after="57"/>
    </w:pPr>
  </w:style>
  <w:style w:type="paragraph" w:styleId="951" w:customStyle="1">
    <w:name w:val="副标题1"/>
    <w:basedOn w:val="794"/>
    <w:next w:val="794"/>
    <w:link w:val="952"/>
    <w:uiPriority w:val="11"/>
    <w:qFormat/>
    <w:pPr>
      <w:spacing w:before="200" w:after="200"/>
    </w:pPr>
    <w:rPr>
      <w:sz w:val="24"/>
      <w:szCs w:val="24"/>
    </w:rPr>
  </w:style>
  <w:style w:type="character" w:styleId="952" w:customStyle="1">
    <w:name w:val="副标题 Char"/>
    <w:link w:val="951"/>
    <w:uiPriority w:val="11"/>
    <w:qFormat/>
    <w:rPr>
      <w:sz w:val="24"/>
      <w:szCs w:val="24"/>
    </w:rPr>
  </w:style>
  <w:style w:type="paragraph" w:styleId="953" w:customStyle="1">
    <w:name w:val="脚注文本111"/>
    <w:basedOn w:val="794"/>
    <w:next w:val="931"/>
    <w:link w:val="954"/>
    <w:uiPriority w:val="99"/>
    <w:unhideWhenUsed/>
    <w:qFormat/>
    <w:pPr>
      <w:spacing w:after="40"/>
    </w:pPr>
    <w:rPr>
      <w:sz w:val="18"/>
    </w:rPr>
  </w:style>
  <w:style w:type="character" w:styleId="954" w:customStyle="1">
    <w:name w:val="脚注文本 Char1"/>
    <w:link w:val="953"/>
    <w:uiPriority w:val="99"/>
    <w:qFormat/>
    <w:rPr>
      <w:sz w:val="18"/>
    </w:rPr>
  </w:style>
  <w:style w:type="paragraph" w:styleId="955" w:customStyle="1">
    <w:name w:val="目录 61"/>
    <w:basedOn w:val="794"/>
    <w:next w:val="794"/>
    <w:uiPriority w:val="39"/>
    <w:unhideWhenUsed/>
    <w:qFormat/>
    <w:pPr>
      <w:ind w:left="1417"/>
      <w:spacing w:after="57"/>
    </w:pPr>
  </w:style>
  <w:style w:type="paragraph" w:styleId="956" w:customStyle="1">
    <w:name w:val="图表目录1"/>
    <w:basedOn w:val="794"/>
    <w:next w:val="794"/>
    <w:uiPriority w:val="99"/>
    <w:unhideWhenUsed/>
    <w:qFormat/>
  </w:style>
  <w:style w:type="paragraph" w:styleId="957" w:customStyle="1">
    <w:name w:val="目录 21"/>
    <w:basedOn w:val="794"/>
    <w:next w:val="794"/>
    <w:uiPriority w:val="39"/>
    <w:unhideWhenUsed/>
    <w:qFormat/>
    <w:pPr>
      <w:ind w:left="283"/>
      <w:spacing w:after="57"/>
    </w:pPr>
  </w:style>
  <w:style w:type="paragraph" w:styleId="958" w:customStyle="1">
    <w:name w:val="目录 91"/>
    <w:basedOn w:val="794"/>
    <w:next w:val="794"/>
    <w:uiPriority w:val="39"/>
    <w:unhideWhenUsed/>
    <w:qFormat/>
    <w:pPr>
      <w:ind w:left="2268"/>
      <w:spacing w:after="57"/>
    </w:pPr>
  </w:style>
  <w:style w:type="paragraph" w:styleId="959" w:customStyle="1">
    <w:name w:val="标题1"/>
    <w:basedOn w:val="794"/>
    <w:next w:val="794"/>
    <w:link w:val="960"/>
    <w:uiPriority w:val="10"/>
    <w:qFormat/>
    <w:pPr>
      <w:contextualSpacing/>
      <w:spacing w:before="300" w:after="200"/>
    </w:pPr>
    <w:rPr>
      <w:sz w:val="48"/>
      <w:szCs w:val="48"/>
    </w:rPr>
  </w:style>
  <w:style w:type="character" w:styleId="960" w:customStyle="1">
    <w:name w:val="标题 Char"/>
    <w:link w:val="959"/>
    <w:uiPriority w:val="10"/>
    <w:qFormat/>
    <w:rPr>
      <w:sz w:val="48"/>
      <w:szCs w:val="48"/>
    </w:rPr>
  </w:style>
  <w:style w:type="paragraph" w:styleId="961" w:customStyle="1">
    <w:name w:val="批注主题1"/>
    <w:basedOn w:val="933"/>
    <w:next w:val="933"/>
    <w:link w:val="962"/>
    <w:uiPriority w:val="99"/>
    <w:unhideWhenUsed/>
    <w:qFormat/>
    <w:rPr>
      <w:b/>
      <w:bCs/>
    </w:rPr>
  </w:style>
  <w:style w:type="character" w:styleId="962" w:customStyle="1">
    <w:name w:val="批注主题 Char"/>
    <w:basedOn w:val="934"/>
    <w:link w:val="961"/>
    <w:uiPriority w:val="99"/>
    <w:semiHidden/>
    <w:qFormat/>
    <w:rPr>
      <w:b/>
      <w:bCs/>
      <w:sz w:val="21"/>
      <w:szCs w:val="21"/>
    </w:rPr>
  </w:style>
  <w:style w:type="paragraph" w:styleId="963" w:customStyle="1">
    <w:name w:val="正文首行缩进 21"/>
    <w:basedOn w:val="964"/>
    <w:uiPriority w:val="99"/>
    <w:unhideWhenUsed/>
    <w:qFormat/>
    <w:pPr>
      <w:ind w:firstLine="420"/>
    </w:pPr>
  </w:style>
  <w:style w:type="paragraph" w:styleId="964" w:customStyle="1">
    <w:name w:val="正文文本缩进1"/>
    <w:basedOn w:val="883"/>
    <w:next w:val="965"/>
    <w:uiPriority w:val="0"/>
    <w:qFormat/>
    <w:pPr>
      <w:ind w:left="420"/>
      <w:spacing w:after="120"/>
    </w:pPr>
  </w:style>
  <w:style w:type="paragraph" w:styleId="965" w:customStyle="1">
    <w:name w:val="寄信人地址1"/>
    <w:basedOn w:val="883"/>
    <w:uiPriority w:val="0"/>
    <w:qFormat/>
    <w:rPr>
      <w:rFonts w:ascii="Arial" w:hAnsi="Arial"/>
    </w:rPr>
  </w:style>
  <w:style w:type="table" w:styleId="966" w:customStyle="1">
    <w:name w:val="网格型11"/>
    <w:uiPriority w:val="59"/>
    <w:qFormat/>
    <w:tblPr>
      <w:tblCellMar>
        <w:left w:w="0" w:type="dxa"/>
        <w:top w:w="0" w:type="dxa"/>
        <w:right w:w="0" w:type="dxa"/>
        <w:bottom w:w="0" w:type="dxa"/>
      </w:tblCellMar>
    </w:tblPr>
  </w:style>
  <w:style w:type="character" w:styleId="967" w:customStyle="1">
    <w:name w:val="尾注引用1"/>
    <w:uiPriority w:val="99"/>
    <w:unhideWhenUsed/>
    <w:qFormat/>
    <w:rPr>
      <w:vertAlign w:val="superscript"/>
    </w:rPr>
  </w:style>
  <w:style w:type="character" w:styleId="968" w:customStyle="1">
    <w:name w:val="超链接11"/>
    <w:uiPriority w:val="99"/>
    <w:unhideWhenUsed/>
    <w:qFormat/>
    <w:rPr>
      <w:color w:val="0000ff"/>
      <w:u w:val="single"/>
    </w:rPr>
  </w:style>
  <w:style w:type="character" w:styleId="969" w:customStyle="1">
    <w:name w:val="批注引用11"/>
    <w:basedOn w:val="918"/>
    <w:uiPriority w:val="99"/>
    <w:unhideWhenUsed/>
    <w:qFormat/>
    <w:rPr>
      <w:sz w:val="21"/>
      <w:szCs w:val="21"/>
    </w:rPr>
  </w:style>
  <w:style w:type="character" w:styleId="970" w:customStyle="1">
    <w:name w:val="脚注引用1"/>
    <w:uiPriority w:val="99"/>
    <w:unhideWhenUsed/>
    <w:qFormat/>
    <w:rPr>
      <w:vertAlign w:val="superscript"/>
    </w:rPr>
  </w:style>
  <w:style w:type="paragraph" w:styleId="971" w:customStyle="1">
    <w:name w:val="列出段落1"/>
    <w:basedOn w:val="873"/>
    <w:uiPriority w:val="0"/>
    <w:qFormat/>
    <w:pPr>
      <w:ind w:firstLine="420"/>
    </w:pPr>
    <w:rPr>
      <w:rFonts w:ascii="Calibri" w:hAnsi="Calibri"/>
    </w:rPr>
  </w:style>
  <w:style w:type="paragraph" w:styleId="972" w:customStyle="1">
    <w:name w:val="脚注文本1"/>
    <w:basedOn w:val="873"/>
    <w:next w:val="973"/>
    <w:uiPriority w:val="0"/>
    <w:qFormat/>
    <w:pPr>
      <w:jc w:val="left"/>
    </w:pPr>
    <w:rPr>
      <w:rFonts w:ascii="宋体" w:eastAsia="Times New Roman"/>
      <w:sz w:val="18"/>
      <w:szCs w:val="18"/>
    </w:rPr>
  </w:style>
  <w:style w:type="paragraph" w:styleId="973" w:customStyle="1">
    <w:name w:val="索引 51"/>
    <w:basedOn w:val="873"/>
    <w:next w:val="873"/>
    <w:uiPriority w:val="0"/>
    <w:qFormat/>
    <w:pPr>
      <w:ind w:left="798"/>
      <w:jc w:val="left"/>
    </w:pPr>
    <w:rPr>
      <w:rFonts w:ascii="Calibri" w:hAnsi="Calibri"/>
    </w:rPr>
  </w:style>
  <w:style w:type="paragraph" w:styleId="974">
    <w:name w:val="List Paragraph"/>
    <w:basedOn w:val="794"/>
    <w:uiPriority w:val="34"/>
    <w:qFormat/>
    <w:pPr>
      <w:contextualSpacing/>
      <w:ind w:left="720"/>
    </w:pPr>
  </w:style>
  <w:style w:type="paragraph" w:styleId="975">
    <w:name w:val="No Spacing"/>
    <w:uiPriority w:val="1"/>
    <w:qFormat/>
    <w:rPr>
      <w:rFonts w:hint="default" w:ascii="Times New Roman" w:hAnsi="Times New Roman" w:eastAsia="宋体" w:cs="Times New Roman"/>
      <w:lang w:val="en-US" w:eastAsia="zh-CN" w:bidi="ar-SA"/>
    </w:rPr>
  </w:style>
  <w:style w:type="paragraph" w:styleId="976">
    <w:name w:val="Quote"/>
    <w:basedOn w:val="794"/>
    <w:next w:val="794"/>
    <w:link w:val="977"/>
    <w:uiPriority w:val="29"/>
    <w:qFormat/>
    <w:pPr>
      <w:ind w:left="720" w:right="720"/>
    </w:pPr>
    <w:rPr>
      <w:i/>
    </w:rPr>
  </w:style>
  <w:style w:type="character" w:styleId="977" w:customStyle="1">
    <w:name w:val="引用 字符"/>
    <w:link w:val="976"/>
    <w:uiPriority w:val="29"/>
    <w:qFormat/>
    <w:rPr>
      <w:i/>
    </w:rPr>
  </w:style>
  <w:style w:type="paragraph" w:styleId="978">
    <w:name w:val="Intense Quote"/>
    <w:basedOn w:val="794"/>
    <w:next w:val="794"/>
    <w:link w:val="97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9" w:customStyle="1">
    <w:name w:val="明显引用 字符"/>
    <w:link w:val="978"/>
    <w:uiPriority w:val="30"/>
    <w:qFormat/>
    <w:rPr>
      <w:i/>
    </w:rPr>
  </w:style>
  <w:style w:type="character" w:styleId="980" w:customStyle="1">
    <w:name w:val="Footer Char"/>
    <w:uiPriority w:val="99"/>
    <w:qFormat/>
  </w:style>
  <w:style w:type="table" w:styleId="981" w:customStyle="1">
    <w:name w:val="Table Grid Light"/>
    <w:uiPriority w:val="59"/>
    <w:qFormat/>
    <w:tblPr>
      <w:tblCellMar>
        <w:left w:w="0" w:type="dxa"/>
        <w:top w:w="0" w:type="dxa"/>
        <w:right w:w="0" w:type="dxa"/>
        <w:bottom w:w="0" w:type="dxa"/>
      </w:tblCellMar>
    </w:tblPr>
  </w:style>
  <w:style w:type="table" w:styleId="982" w:customStyle="1">
    <w:name w:val="无格式表格 11"/>
    <w:uiPriority w:val="59"/>
    <w:qFormat/>
    <w:tblPr>
      <w:tblCellMar>
        <w:left w:w="0" w:type="dxa"/>
        <w:top w:w="0" w:type="dxa"/>
        <w:right w:w="0" w:type="dxa"/>
        <w:bottom w:w="0" w:type="dxa"/>
      </w:tblCellMar>
    </w:tblPr>
  </w:style>
  <w:style w:type="table" w:styleId="983" w:customStyle="1">
    <w:name w:val="无格式表格 21"/>
    <w:uiPriority w:val="59"/>
    <w:qFormat/>
    <w:tblPr>
      <w:tblCellMar>
        <w:left w:w="0" w:type="dxa"/>
        <w:top w:w="0" w:type="dxa"/>
        <w:right w:w="0" w:type="dxa"/>
        <w:bottom w:w="0" w:type="dxa"/>
      </w:tblCellMar>
    </w:tblPr>
  </w:style>
  <w:style w:type="table" w:styleId="984" w:customStyle="1">
    <w:name w:val="无格式表格 31"/>
    <w:uiPriority w:val="99"/>
    <w:qFormat/>
    <w:tblPr>
      <w:tblCellMar>
        <w:left w:w="0" w:type="dxa"/>
        <w:top w:w="0" w:type="dxa"/>
        <w:right w:w="0" w:type="dxa"/>
        <w:bottom w:w="0" w:type="dxa"/>
      </w:tblCellMar>
    </w:tblPr>
  </w:style>
  <w:style w:type="table" w:styleId="985" w:customStyle="1">
    <w:name w:val="无格式表格 41"/>
    <w:uiPriority w:val="99"/>
    <w:qFormat/>
    <w:tblPr>
      <w:tblCellMar>
        <w:left w:w="0" w:type="dxa"/>
        <w:top w:w="0" w:type="dxa"/>
        <w:right w:w="0" w:type="dxa"/>
        <w:bottom w:w="0" w:type="dxa"/>
      </w:tblCellMar>
    </w:tblPr>
  </w:style>
  <w:style w:type="table" w:styleId="986" w:customStyle="1">
    <w:name w:val="无格式表格 51"/>
    <w:uiPriority w:val="99"/>
    <w:qFormat/>
    <w:tblPr>
      <w:tblCellMar>
        <w:left w:w="0" w:type="dxa"/>
        <w:top w:w="0" w:type="dxa"/>
        <w:right w:w="0" w:type="dxa"/>
        <w:bottom w:w="0" w:type="dxa"/>
      </w:tblCellMar>
    </w:tblPr>
  </w:style>
  <w:style w:type="table" w:styleId="987" w:customStyle="1">
    <w:name w:val="网格表 1 浅色1"/>
    <w:uiPriority w:val="99"/>
    <w:qFormat/>
    <w:tblPr>
      <w:tblCellMar>
        <w:left w:w="0" w:type="dxa"/>
        <w:top w:w="0" w:type="dxa"/>
        <w:right w:w="0" w:type="dxa"/>
        <w:bottom w:w="0" w:type="dxa"/>
      </w:tblCellMar>
    </w:tblPr>
  </w:style>
  <w:style w:type="table" w:styleId="988" w:customStyle="1">
    <w:name w:val="Grid Table 1 Light - Accent 1"/>
    <w:uiPriority w:val="99"/>
    <w:qFormat/>
    <w:tblPr>
      <w:tblCellMar>
        <w:left w:w="0" w:type="dxa"/>
        <w:top w:w="0" w:type="dxa"/>
        <w:right w:w="0" w:type="dxa"/>
        <w:bottom w:w="0" w:type="dxa"/>
      </w:tblCellMar>
    </w:tblPr>
  </w:style>
  <w:style w:type="table" w:styleId="989" w:customStyle="1">
    <w:name w:val="Grid Table 1 Light - Accent 2"/>
    <w:uiPriority w:val="99"/>
    <w:qFormat/>
    <w:tblPr>
      <w:tblCellMar>
        <w:left w:w="0" w:type="dxa"/>
        <w:top w:w="0" w:type="dxa"/>
        <w:right w:w="0" w:type="dxa"/>
        <w:bottom w:w="0" w:type="dxa"/>
      </w:tblCellMar>
    </w:tblPr>
  </w:style>
  <w:style w:type="table" w:styleId="990" w:customStyle="1">
    <w:name w:val="Grid Table 1 Light - Accent 3"/>
    <w:uiPriority w:val="99"/>
    <w:qFormat/>
    <w:tblPr>
      <w:tblCellMar>
        <w:left w:w="0" w:type="dxa"/>
        <w:top w:w="0" w:type="dxa"/>
        <w:right w:w="0" w:type="dxa"/>
        <w:bottom w:w="0" w:type="dxa"/>
      </w:tblCellMar>
    </w:tblPr>
  </w:style>
  <w:style w:type="table" w:styleId="991" w:customStyle="1">
    <w:name w:val="Grid Table 1 Light - Accent 4"/>
    <w:uiPriority w:val="99"/>
    <w:qFormat/>
    <w:tblPr>
      <w:tblCellMar>
        <w:left w:w="0" w:type="dxa"/>
        <w:top w:w="0" w:type="dxa"/>
        <w:right w:w="0" w:type="dxa"/>
        <w:bottom w:w="0" w:type="dxa"/>
      </w:tblCellMar>
    </w:tblPr>
  </w:style>
  <w:style w:type="table" w:styleId="992" w:customStyle="1">
    <w:name w:val="Grid Table 1 Light - Accent 5"/>
    <w:uiPriority w:val="99"/>
    <w:qFormat/>
    <w:tblPr>
      <w:tblCellMar>
        <w:left w:w="0" w:type="dxa"/>
        <w:top w:w="0" w:type="dxa"/>
        <w:right w:w="0" w:type="dxa"/>
        <w:bottom w:w="0" w:type="dxa"/>
      </w:tblCellMar>
    </w:tblPr>
  </w:style>
  <w:style w:type="table" w:styleId="993" w:customStyle="1">
    <w:name w:val="Grid Table 1 Light - Accent 6"/>
    <w:uiPriority w:val="99"/>
    <w:qFormat/>
    <w:tblPr>
      <w:tblCellMar>
        <w:left w:w="0" w:type="dxa"/>
        <w:top w:w="0" w:type="dxa"/>
        <w:right w:w="0" w:type="dxa"/>
        <w:bottom w:w="0" w:type="dxa"/>
      </w:tblCellMar>
    </w:tblPr>
  </w:style>
  <w:style w:type="table" w:styleId="994" w:customStyle="1">
    <w:name w:val="网格表 21"/>
    <w:uiPriority w:val="99"/>
    <w:qFormat/>
    <w:tblPr>
      <w:tblCellMar>
        <w:left w:w="0" w:type="dxa"/>
        <w:top w:w="0" w:type="dxa"/>
        <w:right w:w="0" w:type="dxa"/>
        <w:bottom w:w="0" w:type="dxa"/>
      </w:tblCellMar>
    </w:tblPr>
  </w:style>
  <w:style w:type="table" w:styleId="995" w:customStyle="1">
    <w:name w:val="Grid Table 2 - Accent 1"/>
    <w:uiPriority w:val="99"/>
    <w:qFormat/>
    <w:tblPr>
      <w:tblCellMar>
        <w:left w:w="0" w:type="dxa"/>
        <w:top w:w="0" w:type="dxa"/>
        <w:right w:w="0" w:type="dxa"/>
        <w:bottom w:w="0" w:type="dxa"/>
      </w:tblCellMar>
    </w:tblPr>
  </w:style>
  <w:style w:type="table" w:styleId="996" w:customStyle="1">
    <w:name w:val="Grid Table 2 - Accent 2"/>
    <w:uiPriority w:val="99"/>
    <w:qFormat/>
    <w:tblPr>
      <w:tblCellMar>
        <w:left w:w="0" w:type="dxa"/>
        <w:top w:w="0" w:type="dxa"/>
        <w:right w:w="0" w:type="dxa"/>
        <w:bottom w:w="0" w:type="dxa"/>
      </w:tblCellMar>
    </w:tblPr>
  </w:style>
  <w:style w:type="table" w:styleId="997" w:customStyle="1">
    <w:name w:val="Grid Table 2 - Accent 3"/>
    <w:uiPriority w:val="99"/>
    <w:qFormat/>
    <w:tblPr>
      <w:tblCellMar>
        <w:left w:w="0" w:type="dxa"/>
        <w:top w:w="0" w:type="dxa"/>
        <w:right w:w="0" w:type="dxa"/>
        <w:bottom w:w="0" w:type="dxa"/>
      </w:tblCellMar>
    </w:tblPr>
  </w:style>
  <w:style w:type="table" w:styleId="998" w:customStyle="1">
    <w:name w:val="Grid Table 2 - Accent 4"/>
    <w:uiPriority w:val="99"/>
    <w:qFormat/>
    <w:tblPr>
      <w:tblCellMar>
        <w:left w:w="0" w:type="dxa"/>
        <w:top w:w="0" w:type="dxa"/>
        <w:right w:w="0" w:type="dxa"/>
        <w:bottom w:w="0" w:type="dxa"/>
      </w:tblCellMar>
    </w:tblPr>
  </w:style>
  <w:style w:type="table" w:styleId="999" w:customStyle="1">
    <w:name w:val="Grid Table 2 - Accent 5"/>
    <w:uiPriority w:val="99"/>
    <w:qFormat/>
    <w:tblPr>
      <w:tblCellMar>
        <w:left w:w="0" w:type="dxa"/>
        <w:top w:w="0" w:type="dxa"/>
        <w:right w:w="0" w:type="dxa"/>
        <w:bottom w:w="0" w:type="dxa"/>
      </w:tblCellMar>
    </w:tblPr>
  </w:style>
  <w:style w:type="table" w:styleId="1000" w:customStyle="1">
    <w:name w:val="Grid Table 2 - Accent 6"/>
    <w:uiPriority w:val="99"/>
    <w:qFormat/>
    <w:tblPr>
      <w:tblCellMar>
        <w:left w:w="0" w:type="dxa"/>
        <w:top w:w="0" w:type="dxa"/>
        <w:right w:w="0" w:type="dxa"/>
        <w:bottom w:w="0" w:type="dxa"/>
      </w:tblCellMar>
    </w:tblPr>
  </w:style>
  <w:style w:type="table" w:styleId="1001" w:customStyle="1">
    <w:name w:val="网格表 31"/>
    <w:uiPriority w:val="99"/>
    <w:qFormat/>
    <w:tblPr>
      <w:tblCellMar>
        <w:left w:w="0" w:type="dxa"/>
        <w:top w:w="0" w:type="dxa"/>
        <w:right w:w="0" w:type="dxa"/>
        <w:bottom w:w="0" w:type="dxa"/>
      </w:tblCellMar>
    </w:tblPr>
  </w:style>
  <w:style w:type="table" w:styleId="1002" w:customStyle="1">
    <w:name w:val="Grid Table 3 - Accent 1"/>
    <w:uiPriority w:val="99"/>
    <w:qFormat/>
    <w:tblPr>
      <w:tblCellMar>
        <w:left w:w="0" w:type="dxa"/>
        <w:top w:w="0" w:type="dxa"/>
        <w:right w:w="0" w:type="dxa"/>
        <w:bottom w:w="0" w:type="dxa"/>
      </w:tblCellMar>
    </w:tblPr>
  </w:style>
  <w:style w:type="table" w:styleId="1003" w:customStyle="1">
    <w:name w:val="Grid Table 3 - Accent 2"/>
    <w:uiPriority w:val="99"/>
    <w:qFormat/>
    <w:tblPr>
      <w:tblCellMar>
        <w:left w:w="0" w:type="dxa"/>
        <w:top w:w="0" w:type="dxa"/>
        <w:right w:w="0" w:type="dxa"/>
        <w:bottom w:w="0" w:type="dxa"/>
      </w:tblCellMar>
    </w:tblPr>
  </w:style>
  <w:style w:type="table" w:styleId="1004" w:customStyle="1">
    <w:name w:val="Grid Table 3 - Accent 3"/>
    <w:uiPriority w:val="99"/>
    <w:qFormat/>
    <w:tblPr>
      <w:tblCellMar>
        <w:left w:w="0" w:type="dxa"/>
        <w:top w:w="0" w:type="dxa"/>
        <w:right w:w="0" w:type="dxa"/>
        <w:bottom w:w="0" w:type="dxa"/>
      </w:tblCellMar>
    </w:tblPr>
  </w:style>
  <w:style w:type="table" w:styleId="1005" w:customStyle="1">
    <w:name w:val="Grid Table 3 - Accent 4"/>
    <w:uiPriority w:val="99"/>
    <w:qFormat/>
    <w:tblPr>
      <w:tblCellMar>
        <w:left w:w="0" w:type="dxa"/>
        <w:top w:w="0" w:type="dxa"/>
        <w:right w:w="0" w:type="dxa"/>
        <w:bottom w:w="0" w:type="dxa"/>
      </w:tblCellMar>
    </w:tblPr>
  </w:style>
  <w:style w:type="table" w:styleId="1006" w:customStyle="1">
    <w:name w:val="Grid Table 3 - Accent 5"/>
    <w:uiPriority w:val="99"/>
    <w:qFormat/>
    <w:tblPr>
      <w:tblCellMar>
        <w:left w:w="0" w:type="dxa"/>
        <w:top w:w="0" w:type="dxa"/>
        <w:right w:w="0" w:type="dxa"/>
        <w:bottom w:w="0" w:type="dxa"/>
      </w:tblCellMar>
    </w:tblPr>
  </w:style>
  <w:style w:type="table" w:styleId="1007" w:customStyle="1">
    <w:name w:val="Grid Table 3 - Accent 6"/>
    <w:uiPriority w:val="99"/>
    <w:qFormat/>
    <w:tblPr>
      <w:tblCellMar>
        <w:left w:w="0" w:type="dxa"/>
        <w:top w:w="0" w:type="dxa"/>
        <w:right w:w="0" w:type="dxa"/>
        <w:bottom w:w="0" w:type="dxa"/>
      </w:tblCellMar>
    </w:tblPr>
  </w:style>
  <w:style w:type="table" w:styleId="1008" w:customStyle="1">
    <w:name w:val="网格表 41"/>
    <w:uiPriority w:val="59"/>
    <w:qFormat/>
    <w:tblPr>
      <w:tblCellMar>
        <w:left w:w="0" w:type="dxa"/>
        <w:top w:w="0" w:type="dxa"/>
        <w:right w:w="0" w:type="dxa"/>
        <w:bottom w:w="0" w:type="dxa"/>
      </w:tblCellMar>
    </w:tblPr>
  </w:style>
  <w:style w:type="table" w:styleId="1009" w:customStyle="1">
    <w:name w:val="Grid Table 4 - Accent 1"/>
    <w:uiPriority w:val="59"/>
    <w:qFormat/>
    <w:tblPr>
      <w:tblCellMar>
        <w:left w:w="0" w:type="dxa"/>
        <w:top w:w="0" w:type="dxa"/>
        <w:right w:w="0" w:type="dxa"/>
        <w:bottom w:w="0" w:type="dxa"/>
      </w:tblCellMar>
    </w:tblPr>
  </w:style>
  <w:style w:type="table" w:styleId="1010" w:customStyle="1">
    <w:name w:val="Grid Table 4 - Accent 2"/>
    <w:uiPriority w:val="59"/>
    <w:qFormat/>
    <w:tblPr>
      <w:tblCellMar>
        <w:left w:w="0" w:type="dxa"/>
        <w:top w:w="0" w:type="dxa"/>
        <w:right w:w="0" w:type="dxa"/>
        <w:bottom w:w="0" w:type="dxa"/>
      </w:tblCellMar>
    </w:tblPr>
  </w:style>
  <w:style w:type="table" w:styleId="1011" w:customStyle="1">
    <w:name w:val="Grid Table 4 - Accent 3"/>
    <w:uiPriority w:val="59"/>
    <w:qFormat/>
    <w:tblPr>
      <w:tblCellMar>
        <w:left w:w="0" w:type="dxa"/>
        <w:top w:w="0" w:type="dxa"/>
        <w:right w:w="0" w:type="dxa"/>
        <w:bottom w:w="0" w:type="dxa"/>
      </w:tblCellMar>
    </w:tblPr>
  </w:style>
  <w:style w:type="table" w:styleId="1012" w:customStyle="1">
    <w:name w:val="Grid Table 4 - Accent 4"/>
    <w:uiPriority w:val="59"/>
    <w:qFormat/>
    <w:tblPr>
      <w:tblCellMar>
        <w:left w:w="0" w:type="dxa"/>
        <w:top w:w="0" w:type="dxa"/>
        <w:right w:w="0" w:type="dxa"/>
        <w:bottom w:w="0" w:type="dxa"/>
      </w:tblCellMar>
    </w:tblPr>
  </w:style>
  <w:style w:type="table" w:styleId="1013" w:customStyle="1">
    <w:name w:val="Grid Table 4 - Accent 5"/>
    <w:uiPriority w:val="59"/>
    <w:qFormat/>
    <w:tblPr>
      <w:tblCellMar>
        <w:left w:w="0" w:type="dxa"/>
        <w:top w:w="0" w:type="dxa"/>
        <w:right w:w="0" w:type="dxa"/>
        <w:bottom w:w="0" w:type="dxa"/>
      </w:tblCellMar>
    </w:tblPr>
  </w:style>
  <w:style w:type="table" w:styleId="1014" w:customStyle="1">
    <w:name w:val="Grid Table 4 - Accent 6"/>
    <w:uiPriority w:val="59"/>
    <w:qFormat/>
    <w:tblPr>
      <w:tblCellMar>
        <w:left w:w="0" w:type="dxa"/>
        <w:top w:w="0" w:type="dxa"/>
        <w:right w:w="0" w:type="dxa"/>
        <w:bottom w:w="0" w:type="dxa"/>
      </w:tblCellMar>
    </w:tblPr>
  </w:style>
  <w:style w:type="table" w:styleId="1015" w:customStyle="1">
    <w:name w:val="网格表 5 深色1"/>
    <w:uiPriority w:val="99"/>
    <w:qFormat/>
    <w:tblPr>
      <w:tblCellMar>
        <w:left w:w="0" w:type="dxa"/>
        <w:top w:w="0" w:type="dxa"/>
        <w:right w:w="0" w:type="dxa"/>
        <w:bottom w:w="0" w:type="dxa"/>
      </w:tblCellMar>
    </w:tblPr>
  </w:style>
  <w:style w:type="table" w:styleId="1016" w:customStyle="1">
    <w:name w:val="Grid Table 5 Dark- Accent 1"/>
    <w:uiPriority w:val="99"/>
    <w:qFormat/>
    <w:tblPr>
      <w:tblCellMar>
        <w:left w:w="0" w:type="dxa"/>
        <w:top w:w="0" w:type="dxa"/>
        <w:right w:w="0" w:type="dxa"/>
        <w:bottom w:w="0" w:type="dxa"/>
      </w:tblCellMar>
    </w:tblPr>
  </w:style>
  <w:style w:type="table" w:styleId="1017" w:customStyle="1">
    <w:name w:val="Grid Table 5 Dark - Accent 2"/>
    <w:uiPriority w:val="99"/>
    <w:qFormat/>
    <w:tblPr>
      <w:tblCellMar>
        <w:left w:w="0" w:type="dxa"/>
        <w:top w:w="0" w:type="dxa"/>
        <w:right w:w="0" w:type="dxa"/>
        <w:bottom w:w="0" w:type="dxa"/>
      </w:tblCellMar>
    </w:tblPr>
  </w:style>
  <w:style w:type="table" w:styleId="1018" w:customStyle="1">
    <w:name w:val="Grid Table 5 Dark - Accent 3"/>
    <w:uiPriority w:val="99"/>
    <w:qFormat/>
    <w:tblPr>
      <w:tblCellMar>
        <w:left w:w="0" w:type="dxa"/>
        <w:top w:w="0" w:type="dxa"/>
        <w:right w:w="0" w:type="dxa"/>
        <w:bottom w:w="0" w:type="dxa"/>
      </w:tblCellMar>
    </w:tblPr>
  </w:style>
  <w:style w:type="table" w:styleId="1019" w:customStyle="1">
    <w:name w:val="Grid Table 5 Dark- Accent 4"/>
    <w:uiPriority w:val="99"/>
    <w:qFormat/>
    <w:tblPr>
      <w:tblCellMar>
        <w:left w:w="0" w:type="dxa"/>
        <w:top w:w="0" w:type="dxa"/>
        <w:right w:w="0" w:type="dxa"/>
        <w:bottom w:w="0" w:type="dxa"/>
      </w:tblCellMar>
    </w:tblPr>
  </w:style>
  <w:style w:type="table" w:styleId="1020" w:customStyle="1">
    <w:name w:val="Grid Table 5 Dark - Accent 5"/>
    <w:uiPriority w:val="99"/>
    <w:qFormat/>
    <w:tblPr>
      <w:tblCellMar>
        <w:left w:w="0" w:type="dxa"/>
        <w:top w:w="0" w:type="dxa"/>
        <w:right w:w="0" w:type="dxa"/>
        <w:bottom w:w="0" w:type="dxa"/>
      </w:tblCellMar>
    </w:tblPr>
  </w:style>
  <w:style w:type="table" w:styleId="1021" w:customStyle="1">
    <w:name w:val="Grid Table 5 Dark - Accent 6"/>
    <w:uiPriority w:val="99"/>
    <w:qFormat/>
    <w:tblPr>
      <w:tblCellMar>
        <w:left w:w="0" w:type="dxa"/>
        <w:top w:w="0" w:type="dxa"/>
        <w:right w:w="0" w:type="dxa"/>
        <w:bottom w:w="0" w:type="dxa"/>
      </w:tblCellMar>
    </w:tblPr>
  </w:style>
  <w:style w:type="table" w:styleId="1022" w:customStyle="1">
    <w:name w:val="网格表 6 彩色1"/>
    <w:uiPriority w:val="99"/>
    <w:qFormat/>
    <w:tblPr>
      <w:tblCellMar>
        <w:left w:w="0" w:type="dxa"/>
        <w:top w:w="0" w:type="dxa"/>
        <w:right w:w="0" w:type="dxa"/>
        <w:bottom w:w="0" w:type="dxa"/>
      </w:tblCellMar>
    </w:tblPr>
  </w:style>
  <w:style w:type="table" w:styleId="1023" w:customStyle="1">
    <w:name w:val="Grid Table 6 Colorful - Accent 1"/>
    <w:uiPriority w:val="99"/>
    <w:qFormat/>
    <w:tblPr>
      <w:tblCellMar>
        <w:left w:w="0" w:type="dxa"/>
        <w:top w:w="0" w:type="dxa"/>
        <w:right w:w="0" w:type="dxa"/>
        <w:bottom w:w="0" w:type="dxa"/>
      </w:tblCellMar>
    </w:tblPr>
  </w:style>
  <w:style w:type="table" w:styleId="1024" w:customStyle="1">
    <w:name w:val="Grid Table 6 Colorful - Accent 2"/>
    <w:uiPriority w:val="99"/>
    <w:qFormat/>
    <w:tblPr>
      <w:tblCellMar>
        <w:left w:w="0" w:type="dxa"/>
        <w:top w:w="0" w:type="dxa"/>
        <w:right w:w="0" w:type="dxa"/>
        <w:bottom w:w="0" w:type="dxa"/>
      </w:tblCellMar>
    </w:tblPr>
  </w:style>
  <w:style w:type="table" w:styleId="1025" w:customStyle="1">
    <w:name w:val="Grid Table 6 Colorful - Accent 3"/>
    <w:uiPriority w:val="99"/>
    <w:qFormat/>
    <w:tblPr>
      <w:tblCellMar>
        <w:left w:w="0" w:type="dxa"/>
        <w:top w:w="0" w:type="dxa"/>
        <w:right w:w="0" w:type="dxa"/>
        <w:bottom w:w="0" w:type="dxa"/>
      </w:tblCellMar>
    </w:tblPr>
  </w:style>
  <w:style w:type="table" w:styleId="1026" w:customStyle="1">
    <w:name w:val="Grid Table 6 Colorful - Accent 4"/>
    <w:uiPriority w:val="99"/>
    <w:qFormat/>
    <w:tblPr>
      <w:tblCellMar>
        <w:left w:w="0" w:type="dxa"/>
        <w:top w:w="0" w:type="dxa"/>
        <w:right w:w="0" w:type="dxa"/>
        <w:bottom w:w="0" w:type="dxa"/>
      </w:tblCellMar>
    </w:tblPr>
  </w:style>
  <w:style w:type="table" w:styleId="1027" w:customStyle="1">
    <w:name w:val="Grid Table 6 Colorful - Accent 5"/>
    <w:uiPriority w:val="99"/>
    <w:qFormat/>
    <w:tblPr>
      <w:tblCellMar>
        <w:left w:w="0" w:type="dxa"/>
        <w:top w:w="0" w:type="dxa"/>
        <w:right w:w="0" w:type="dxa"/>
        <w:bottom w:w="0" w:type="dxa"/>
      </w:tblCellMar>
    </w:tblPr>
  </w:style>
  <w:style w:type="table" w:styleId="1028" w:customStyle="1">
    <w:name w:val="Grid Table 6 Colorful - Accent 6"/>
    <w:uiPriority w:val="99"/>
    <w:qFormat/>
    <w:tblPr>
      <w:tblCellMar>
        <w:left w:w="0" w:type="dxa"/>
        <w:top w:w="0" w:type="dxa"/>
        <w:right w:w="0" w:type="dxa"/>
        <w:bottom w:w="0" w:type="dxa"/>
      </w:tblCellMar>
    </w:tblPr>
  </w:style>
  <w:style w:type="table" w:styleId="1029" w:customStyle="1">
    <w:name w:val="网格表 7 彩色1"/>
    <w:uiPriority w:val="99"/>
    <w:qFormat/>
    <w:tblPr>
      <w:tblCellMar>
        <w:left w:w="0" w:type="dxa"/>
        <w:top w:w="0" w:type="dxa"/>
        <w:right w:w="0" w:type="dxa"/>
        <w:bottom w:w="0" w:type="dxa"/>
      </w:tblCellMar>
    </w:tblPr>
  </w:style>
  <w:style w:type="table" w:styleId="1030" w:customStyle="1">
    <w:name w:val="Grid Table 7 Colorful - Accent 1"/>
    <w:uiPriority w:val="99"/>
    <w:qFormat/>
    <w:tblPr>
      <w:tblCellMar>
        <w:left w:w="0" w:type="dxa"/>
        <w:top w:w="0" w:type="dxa"/>
        <w:right w:w="0" w:type="dxa"/>
        <w:bottom w:w="0" w:type="dxa"/>
      </w:tblCellMar>
    </w:tblPr>
  </w:style>
  <w:style w:type="table" w:styleId="1031" w:customStyle="1">
    <w:name w:val="Grid Table 7 Colorful - Accent 2"/>
    <w:uiPriority w:val="99"/>
    <w:qFormat/>
    <w:tblPr>
      <w:tblCellMar>
        <w:left w:w="0" w:type="dxa"/>
        <w:top w:w="0" w:type="dxa"/>
        <w:right w:w="0" w:type="dxa"/>
        <w:bottom w:w="0" w:type="dxa"/>
      </w:tblCellMar>
    </w:tblPr>
  </w:style>
  <w:style w:type="table" w:styleId="1032" w:customStyle="1">
    <w:name w:val="Grid Table 7 Colorful - Accent 3"/>
    <w:uiPriority w:val="99"/>
    <w:qFormat/>
    <w:tblPr>
      <w:tblCellMar>
        <w:left w:w="0" w:type="dxa"/>
        <w:top w:w="0" w:type="dxa"/>
        <w:right w:w="0" w:type="dxa"/>
        <w:bottom w:w="0" w:type="dxa"/>
      </w:tblCellMar>
    </w:tblPr>
  </w:style>
  <w:style w:type="table" w:styleId="1033" w:customStyle="1">
    <w:name w:val="Grid Table 7 Colorful - Accent 4"/>
    <w:uiPriority w:val="99"/>
    <w:qFormat/>
    <w:tblPr>
      <w:tblCellMar>
        <w:left w:w="0" w:type="dxa"/>
        <w:top w:w="0" w:type="dxa"/>
        <w:right w:w="0" w:type="dxa"/>
        <w:bottom w:w="0" w:type="dxa"/>
      </w:tblCellMar>
    </w:tblPr>
  </w:style>
  <w:style w:type="table" w:styleId="1034" w:customStyle="1">
    <w:name w:val="Grid Table 7 Colorful - Accent 5"/>
    <w:uiPriority w:val="99"/>
    <w:qFormat/>
    <w:tblPr>
      <w:tblCellMar>
        <w:left w:w="0" w:type="dxa"/>
        <w:top w:w="0" w:type="dxa"/>
        <w:right w:w="0" w:type="dxa"/>
        <w:bottom w:w="0" w:type="dxa"/>
      </w:tblCellMar>
    </w:tblPr>
  </w:style>
  <w:style w:type="table" w:styleId="1035" w:customStyle="1">
    <w:name w:val="Grid Table 7 Colorful - Accent 6"/>
    <w:uiPriority w:val="99"/>
    <w:qFormat/>
    <w:tblPr>
      <w:tblCellMar>
        <w:left w:w="0" w:type="dxa"/>
        <w:top w:w="0" w:type="dxa"/>
        <w:right w:w="0" w:type="dxa"/>
        <w:bottom w:w="0" w:type="dxa"/>
      </w:tblCellMar>
    </w:tblPr>
  </w:style>
  <w:style w:type="table" w:styleId="1036" w:customStyle="1">
    <w:name w:val="清单表 1 浅色1"/>
    <w:uiPriority w:val="99"/>
    <w:qFormat/>
    <w:tblPr>
      <w:tblCellMar>
        <w:left w:w="0" w:type="dxa"/>
        <w:top w:w="0" w:type="dxa"/>
        <w:right w:w="0" w:type="dxa"/>
        <w:bottom w:w="0" w:type="dxa"/>
      </w:tblCellMar>
    </w:tblPr>
  </w:style>
  <w:style w:type="table" w:styleId="1037" w:customStyle="1">
    <w:name w:val="List Table 1 Light - Accent 1"/>
    <w:uiPriority w:val="99"/>
    <w:qFormat/>
    <w:tblPr>
      <w:tblCellMar>
        <w:left w:w="0" w:type="dxa"/>
        <w:top w:w="0" w:type="dxa"/>
        <w:right w:w="0" w:type="dxa"/>
        <w:bottom w:w="0" w:type="dxa"/>
      </w:tblCellMar>
    </w:tblPr>
  </w:style>
  <w:style w:type="table" w:styleId="1038" w:customStyle="1">
    <w:name w:val="List Table 1 Light - Accent 2"/>
    <w:uiPriority w:val="99"/>
    <w:qFormat/>
    <w:tblPr>
      <w:tblCellMar>
        <w:left w:w="0" w:type="dxa"/>
        <w:top w:w="0" w:type="dxa"/>
        <w:right w:w="0" w:type="dxa"/>
        <w:bottom w:w="0" w:type="dxa"/>
      </w:tblCellMar>
    </w:tblPr>
  </w:style>
  <w:style w:type="table" w:styleId="1039" w:customStyle="1">
    <w:name w:val="List Table 1 Light - Accent 3"/>
    <w:uiPriority w:val="99"/>
    <w:qFormat/>
    <w:tblPr>
      <w:tblCellMar>
        <w:left w:w="0" w:type="dxa"/>
        <w:top w:w="0" w:type="dxa"/>
        <w:right w:w="0" w:type="dxa"/>
        <w:bottom w:w="0" w:type="dxa"/>
      </w:tblCellMar>
    </w:tblPr>
  </w:style>
  <w:style w:type="table" w:styleId="1040" w:customStyle="1">
    <w:name w:val="List Table 1 Light - Accent 4"/>
    <w:uiPriority w:val="99"/>
    <w:qFormat/>
    <w:tblPr>
      <w:tblCellMar>
        <w:left w:w="0" w:type="dxa"/>
        <w:top w:w="0" w:type="dxa"/>
        <w:right w:w="0" w:type="dxa"/>
        <w:bottom w:w="0" w:type="dxa"/>
      </w:tblCellMar>
    </w:tblPr>
  </w:style>
  <w:style w:type="table" w:styleId="1041" w:customStyle="1">
    <w:name w:val="List Table 1 Light - Accent 5"/>
    <w:uiPriority w:val="99"/>
    <w:qFormat/>
    <w:tblPr>
      <w:tblCellMar>
        <w:left w:w="0" w:type="dxa"/>
        <w:top w:w="0" w:type="dxa"/>
        <w:right w:w="0" w:type="dxa"/>
        <w:bottom w:w="0" w:type="dxa"/>
      </w:tblCellMar>
    </w:tblPr>
  </w:style>
  <w:style w:type="table" w:styleId="1042" w:customStyle="1">
    <w:name w:val="List Table 1 Light - Accent 6"/>
    <w:uiPriority w:val="99"/>
    <w:qFormat/>
    <w:tblPr>
      <w:tblCellMar>
        <w:left w:w="0" w:type="dxa"/>
        <w:top w:w="0" w:type="dxa"/>
        <w:right w:w="0" w:type="dxa"/>
        <w:bottom w:w="0" w:type="dxa"/>
      </w:tblCellMar>
    </w:tblPr>
  </w:style>
  <w:style w:type="table" w:styleId="1043" w:customStyle="1">
    <w:name w:val="清单表 21"/>
    <w:uiPriority w:val="99"/>
    <w:qFormat/>
    <w:tblPr>
      <w:tblCellMar>
        <w:left w:w="0" w:type="dxa"/>
        <w:top w:w="0" w:type="dxa"/>
        <w:right w:w="0" w:type="dxa"/>
        <w:bottom w:w="0" w:type="dxa"/>
      </w:tblCellMar>
    </w:tblPr>
  </w:style>
  <w:style w:type="table" w:styleId="1044" w:customStyle="1">
    <w:name w:val="List Table 2 - Accent 1"/>
    <w:uiPriority w:val="99"/>
    <w:qFormat/>
    <w:tblPr>
      <w:tblCellMar>
        <w:left w:w="0" w:type="dxa"/>
        <w:top w:w="0" w:type="dxa"/>
        <w:right w:w="0" w:type="dxa"/>
        <w:bottom w:w="0" w:type="dxa"/>
      </w:tblCellMar>
    </w:tblPr>
  </w:style>
  <w:style w:type="table" w:styleId="1045" w:customStyle="1">
    <w:name w:val="List Table 2 - Accent 2"/>
    <w:uiPriority w:val="99"/>
    <w:qFormat/>
    <w:tblPr>
      <w:tblCellMar>
        <w:left w:w="0" w:type="dxa"/>
        <w:top w:w="0" w:type="dxa"/>
        <w:right w:w="0" w:type="dxa"/>
        <w:bottom w:w="0" w:type="dxa"/>
      </w:tblCellMar>
    </w:tblPr>
  </w:style>
  <w:style w:type="table" w:styleId="1046" w:customStyle="1">
    <w:name w:val="List Table 2 - Accent 3"/>
    <w:uiPriority w:val="99"/>
    <w:qFormat/>
    <w:tblPr>
      <w:tblCellMar>
        <w:left w:w="0" w:type="dxa"/>
        <w:top w:w="0" w:type="dxa"/>
        <w:right w:w="0" w:type="dxa"/>
        <w:bottom w:w="0" w:type="dxa"/>
      </w:tblCellMar>
    </w:tblPr>
  </w:style>
  <w:style w:type="table" w:styleId="1047" w:customStyle="1">
    <w:name w:val="List Table 2 - Accent 4"/>
    <w:uiPriority w:val="99"/>
    <w:qFormat/>
    <w:tblPr>
      <w:tblCellMar>
        <w:left w:w="0" w:type="dxa"/>
        <w:top w:w="0" w:type="dxa"/>
        <w:right w:w="0" w:type="dxa"/>
        <w:bottom w:w="0" w:type="dxa"/>
      </w:tblCellMar>
    </w:tblPr>
  </w:style>
  <w:style w:type="table" w:styleId="1048" w:customStyle="1">
    <w:name w:val="List Table 2 - Accent 5"/>
    <w:uiPriority w:val="99"/>
    <w:qFormat/>
    <w:tblPr>
      <w:tblCellMar>
        <w:left w:w="0" w:type="dxa"/>
        <w:top w:w="0" w:type="dxa"/>
        <w:right w:w="0" w:type="dxa"/>
        <w:bottom w:w="0" w:type="dxa"/>
      </w:tblCellMar>
    </w:tblPr>
  </w:style>
  <w:style w:type="table" w:styleId="1049" w:customStyle="1">
    <w:name w:val="List Table 2 - Accent 6"/>
    <w:uiPriority w:val="99"/>
    <w:qFormat/>
    <w:tblPr>
      <w:tblCellMar>
        <w:left w:w="0" w:type="dxa"/>
        <w:top w:w="0" w:type="dxa"/>
        <w:right w:w="0" w:type="dxa"/>
        <w:bottom w:w="0" w:type="dxa"/>
      </w:tblCellMar>
    </w:tblPr>
  </w:style>
  <w:style w:type="table" w:styleId="1050" w:customStyle="1">
    <w:name w:val="清单表 31"/>
    <w:uiPriority w:val="99"/>
    <w:qFormat/>
    <w:tblPr>
      <w:tblCellMar>
        <w:left w:w="0" w:type="dxa"/>
        <w:top w:w="0" w:type="dxa"/>
        <w:right w:w="0" w:type="dxa"/>
        <w:bottom w:w="0" w:type="dxa"/>
      </w:tblCellMar>
    </w:tblPr>
  </w:style>
  <w:style w:type="table" w:styleId="1051" w:customStyle="1">
    <w:name w:val="List Table 3 - Accent 1"/>
    <w:uiPriority w:val="99"/>
    <w:qFormat/>
    <w:tblPr>
      <w:tblCellMar>
        <w:left w:w="0" w:type="dxa"/>
        <w:top w:w="0" w:type="dxa"/>
        <w:right w:w="0" w:type="dxa"/>
        <w:bottom w:w="0" w:type="dxa"/>
      </w:tblCellMar>
    </w:tblPr>
  </w:style>
  <w:style w:type="table" w:styleId="1052" w:customStyle="1">
    <w:name w:val="List Table 3 - Accent 2"/>
    <w:uiPriority w:val="99"/>
    <w:qFormat/>
    <w:tblPr>
      <w:tblCellMar>
        <w:left w:w="0" w:type="dxa"/>
        <w:top w:w="0" w:type="dxa"/>
        <w:right w:w="0" w:type="dxa"/>
        <w:bottom w:w="0" w:type="dxa"/>
      </w:tblCellMar>
    </w:tblPr>
  </w:style>
  <w:style w:type="table" w:styleId="1053" w:customStyle="1">
    <w:name w:val="List Table 3 - Accent 3"/>
    <w:uiPriority w:val="99"/>
    <w:qFormat/>
    <w:tblPr>
      <w:tblCellMar>
        <w:left w:w="0" w:type="dxa"/>
        <w:top w:w="0" w:type="dxa"/>
        <w:right w:w="0" w:type="dxa"/>
        <w:bottom w:w="0" w:type="dxa"/>
      </w:tblCellMar>
    </w:tblPr>
  </w:style>
  <w:style w:type="table" w:styleId="1054" w:customStyle="1">
    <w:name w:val="List Table 3 - Accent 4"/>
    <w:uiPriority w:val="99"/>
    <w:qFormat/>
    <w:tblPr>
      <w:tblCellMar>
        <w:left w:w="0" w:type="dxa"/>
        <w:top w:w="0" w:type="dxa"/>
        <w:right w:w="0" w:type="dxa"/>
        <w:bottom w:w="0" w:type="dxa"/>
      </w:tblCellMar>
    </w:tblPr>
  </w:style>
  <w:style w:type="table" w:styleId="1055" w:customStyle="1">
    <w:name w:val="List Table 3 - Accent 5"/>
    <w:uiPriority w:val="99"/>
    <w:qFormat/>
    <w:tblPr>
      <w:tblCellMar>
        <w:left w:w="0" w:type="dxa"/>
        <w:top w:w="0" w:type="dxa"/>
        <w:right w:w="0" w:type="dxa"/>
        <w:bottom w:w="0" w:type="dxa"/>
      </w:tblCellMar>
    </w:tblPr>
  </w:style>
  <w:style w:type="table" w:styleId="1056" w:customStyle="1">
    <w:name w:val="List Table 3 - Accent 6"/>
    <w:uiPriority w:val="99"/>
    <w:qFormat/>
    <w:tblPr>
      <w:tblCellMar>
        <w:left w:w="0" w:type="dxa"/>
        <w:top w:w="0" w:type="dxa"/>
        <w:right w:w="0" w:type="dxa"/>
        <w:bottom w:w="0" w:type="dxa"/>
      </w:tblCellMar>
    </w:tblPr>
  </w:style>
  <w:style w:type="table" w:styleId="1057" w:customStyle="1">
    <w:name w:val="清单表 41"/>
    <w:uiPriority w:val="99"/>
    <w:qFormat/>
    <w:tblPr>
      <w:tblCellMar>
        <w:left w:w="0" w:type="dxa"/>
        <w:top w:w="0" w:type="dxa"/>
        <w:right w:w="0" w:type="dxa"/>
        <w:bottom w:w="0" w:type="dxa"/>
      </w:tblCellMar>
    </w:tblPr>
  </w:style>
  <w:style w:type="table" w:styleId="1058" w:customStyle="1">
    <w:name w:val="List Table 4 - Accent 1"/>
    <w:uiPriority w:val="99"/>
    <w:qFormat/>
    <w:tblPr>
      <w:tblCellMar>
        <w:left w:w="0" w:type="dxa"/>
        <w:top w:w="0" w:type="dxa"/>
        <w:right w:w="0" w:type="dxa"/>
        <w:bottom w:w="0" w:type="dxa"/>
      </w:tblCellMar>
    </w:tblPr>
  </w:style>
  <w:style w:type="table" w:styleId="1059" w:customStyle="1">
    <w:name w:val="List Table 4 - Accent 2"/>
    <w:uiPriority w:val="99"/>
    <w:qFormat/>
    <w:tblPr>
      <w:tblCellMar>
        <w:left w:w="0" w:type="dxa"/>
        <w:top w:w="0" w:type="dxa"/>
        <w:right w:w="0" w:type="dxa"/>
        <w:bottom w:w="0" w:type="dxa"/>
      </w:tblCellMar>
    </w:tblPr>
  </w:style>
  <w:style w:type="table" w:styleId="1060" w:customStyle="1">
    <w:name w:val="List Table 4 - Accent 3"/>
    <w:uiPriority w:val="99"/>
    <w:qFormat/>
    <w:tblPr>
      <w:tblCellMar>
        <w:left w:w="0" w:type="dxa"/>
        <w:top w:w="0" w:type="dxa"/>
        <w:right w:w="0" w:type="dxa"/>
        <w:bottom w:w="0" w:type="dxa"/>
      </w:tblCellMar>
    </w:tblPr>
  </w:style>
  <w:style w:type="table" w:styleId="1061" w:customStyle="1">
    <w:name w:val="List Table 4 - Accent 4"/>
    <w:uiPriority w:val="99"/>
    <w:qFormat/>
    <w:tblPr>
      <w:tblCellMar>
        <w:left w:w="0" w:type="dxa"/>
        <w:top w:w="0" w:type="dxa"/>
        <w:right w:w="0" w:type="dxa"/>
        <w:bottom w:w="0" w:type="dxa"/>
      </w:tblCellMar>
    </w:tblPr>
  </w:style>
  <w:style w:type="table" w:styleId="1062" w:customStyle="1">
    <w:name w:val="List Table 4 - Accent 5"/>
    <w:uiPriority w:val="99"/>
    <w:qFormat/>
    <w:tblPr>
      <w:tblCellMar>
        <w:left w:w="0" w:type="dxa"/>
        <w:top w:w="0" w:type="dxa"/>
        <w:right w:w="0" w:type="dxa"/>
        <w:bottom w:w="0" w:type="dxa"/>
      </w:tblCellMar>
    </w:tblPr>
  </w:style>
  <w:style w:type="table" w:styleId="1063" w:customStyle="1">
    <w:name w:val="List Table 4 - Accent 6"/>
    <w:uiPriority w:val="99"/>
    <w:qFormat/>
    <w:tblPr>
      <w:tblCellMar>
        <w:left w:w="0" w:type="dxa"/>
        <w:top w:w="0" w:type="dxa"/>
        <w:right w:w="0" w:type="dxa"/>
        <w:bottom w:w="0" w:type="dxa"/>
      </w:tblCellMar>
    </w:tblPr>
  </w:style>
  <w:style w:type="table" w:styleId="1064" w:customStyle="1">
    <w:name w:val="清单表 5 深色1"/>
    <w:uiPriority w:val="99"/>
    <w:qFormat/>
    <w:tblPr>
      <w:tblCellMar>
        <w:left w:w="0" w:type="dxa"/>
        <w:top w:w="0" w:type="dxa"/>
        <w:right w:w="0" w:type="dxa"/>
        <w:bottom w:w="0" w:type="dxa"/>
      </w:tblCellMar>
    </w:tblPr>
  </w:style>
  <w:style w:type="table" w:styleId="1065" w:customStyle="1">
    <w:name w:val="List Table 5 Dark - Accent 1"/>
    <w:uiPriority w:val="99"/>
    <w:qFormat/>
    <w:tblPr>
      <w:tblCellMar>
        <w:left w:w="0" w:type="dxa"/>
        <w:top w:w="0" w:type="dxa"/>
        <w:right w:w="0" w:type="dxa"/>
        <w:bottom w:w="0" w:type="dxa"/>
      </w:tblCellMar>
    </w:tblPr>
  </w:style>
  <w:style w:type="table" w:styleId="1066" w:customStyle="1">
    <w:name w:val="List Table 5 Dark - Accent 2"/>
    <w:uiPriority w:val="99"/>
    <w:qFormat/>
    <w:tblPr>
      <w:tblCellMar>
        <w:left w:w="0" w:type="dxa"/>
        <w:top w:w="0" w:type="dxa"/>
        <w:right w:w="0" w:type="dxa"/>
        <w:bottom w:w="0" w:type="dxa"/>
      </w:tblCellMar>
    </w:tblPr>
  </w:style>
  <w:style w:type="table" w:styleId="1067" w:customStyle="1">
    <w:name w:val="List Table 5 Dark - Accent 3"/>
    <w:uiPriority w:val="99"/>
    <w:qFormat/>
    <w:tblPr>
      <w:tblCellMar>
        <w:left w:w="0" w:type="dxa"/>
        <w:top w:w="0" w:type="dxa"/>
        <w:right w:w="0" w:type="dxa"/>
        <w:bottom w:w="0" w:type="dxa"/>
      </w:tblCellMar>
    </w:tblPr>
  </w:style>
  <w:style w:type="table" w:styleId="1068" w:customStyle="1">
    <w:name w:val="List Table 5 Dark - Accent 4"/>
    <w:uiPriority w:val="99"/>
    <w:qFormat/>
    <w:tblPr>
      <w:tblCellMar>
        <w:left w:w="0" w:type="dxa"/>
        <w:top w:w="0" w:type="dxa"/>
        <w:right w:w="0" w:type="dxa"/>
        <w:bottom w:w="0" w:type="dxa"/>
      </w:tblCellMar>
    </w:tblPr>
  </w:style>
  <w:style w:type="table" w:styleId="1069" w:customStyle="1">
    <w:name w:val="List Table 5 Dark - Accent 5"/>
    <w:uiPriority w:val="99"/>
    <w:qFormat/>
    <w:tblPr>
      <w:tblCellMar>
        <w:left w:w="0" w:type="dxa"/>
        <w:top w:w="0" w:type="dxa"/>
        <w:right w:w="0" w:type="dxa"/>
        <w:bottom w:w="0" w:type="dxa"/>
      </w:tblCellMar>
    </w:tblPr>
  </w:style>
  <w:style w:type="table" w:styleId="1070" w:customStyle="1">
    <w:name w:val="List Table 5 Dark - Accent 6"/>
    <w:uiPriority w:val="99"/>
    <w:qFormat/>
    <w:tblPr>
      <w:tblCellMar>
        <w:left w:w="0" w:type="dxa"/>
        <w:top w:w="0" w:type="dxa"/>
        <w:right w:w="0" w:type="dxa"/>
        <w:bottom w:w="0" w:type="dxa"/>
      </w:tblCellMar>
    </w:tblPr>
  </w:style>
  <w:style w:type="table" w:styleId="1071" w:customStyle="1">
    <w:name w:val="清单表 6 彩色1"/>
    <w:uiPriority w:val="99"/>
    <w:qFormat/>
    <w:tblPr>
      <w:tblCellMar>
        <w:left w:w="0" w:type="dxa"/>
        <w:top w:w="0" w:type="dxa"/>
        <w:right w:w="0" w:type="dxa"/>
        <w:bottom w:w="0" w:type="dxa"/>
      </w:tblCellMar>
    </w:tblPr>
  </w:style>
  <w:style w:type="table" w:styleId="1072" w:customStyle="1">
    <w:name w:val="List Table 6 Colorful - Accent 1"/>
    <w:uiPriority w:val="99"/>
    <w:qFormat/>
    <w:tblPr>
      <w:tblCellMar>
        <w:left w:w="0" w:type="dxa"/>
        <w:top w:w="0" w:type="dxa"/>
        <w:right w:w="0" w:type="dxa"/>
        <w:bottom w:w="0" w:type="dxa"/>
      </w:tblCellMar>
    </w:tblPr>
  </w:style>
  <w:style w:type="table" w:styleId="1073" w:customStyle="1">
    <w:name w:val="List Table 6 Colorful - Accent 2"/>
    <w:uiPriority w:val="99"/>
    <w:qFormat/>
    <w:tblPr>
      <w:tblCellMar>
        <w:left w:w="0" w:type="dxa"/>
        <w:top w:w="0" w:type="dxa"/>
        <w:right w:w="0" w:type="dxa"/>
        <w:bottom w:w="0" w:type="dxa"/>
      </w:tblCellMar>
    </w:tblPr>
  </w:style>
  <w:style w:type="table" w:styleId="1074" w:customStyle="1">
    <w:name w:val="List Table 6 Colorful - Accent 3"/>
    <w:uiPriority w:val="99"/>
    <w:qFormat/>
    <w:tblPr>
      <w:tblCellMar>
        <w:left w:w="0" w:type="dxa"/>
        <w:top w:w="0" w:type="dxa"/>
        <w:right w:w="0" w:type="dxa"/>
        <w:bottom w:w="0" w:type="dxa"/>
      </w:tblCellMar>
    </w:tblPr>
  </w:style>
  <w:style w:type="table" w:styleId="1075" w:customStyle="1">
    <w:name w:val="List Table 6 Colorful - Accent 4"/>
    <w:uiPriority w:val="99"/>
    <w:qFormat/>
    <w:tblPr>
      <w:tblCellMar>
        <w:left w:w="0" w:type="dxa"/>
        <w:top w:w="0" w:type="dxa"/>
        <w:right w:w="0" w:type="dxa"/>
        <w:bottom w:w="0" w:type="dxa"/>
      </w:tblCellMar>
    </w:tblPr>
  </w:style>
  <w:style w:type="table" w:styleId="1076" w:customStyle="1">
    <w:name w:val="List Table 6 Colorful - Accent 5"/>
    <w:uiPriority w:val="99"/>
    <w:qFormat/>
    <w:tblPr>
      <w:tblCellMar>
        <w:left w:w="0" w:type="dxa"/>
        <w:top w:w="0" w:type="dxa"/>
        <w:right w:w="0" w:type="dxa"/>
        <w:bottom w:w="0" w:type="dxa"/>
      </w:tblCellMar>
    </w:tblPr>
  </w:style>
  <w:style w:type="table" w:styleId="1077" w:customStyle="1">
    <w:name w:val="List Table 6 Colorful - Accent 6"/>
    <w:uiPriority w:val="99"/>
    <w:qFormat/>
    <w:tblPr>
      <w:tblCellMar>
        <w:left w:w="0" w:type="dxa"/>
        <w:top w:w="0" w:type="dxa"/>
        <w:right w:w="0" w:type="dxa"/>
        <w:bottom w:w="0" w:type="dxa"/>
      </w:tblCellMar>
    </w:tblPr>
  </w:style>
  <w:style w:type="table" w:styleId="1078" w:customStyle="1">
    <w:name w:val="清单表 7 彩色1"/>
    <w:uiPriority w:val="99"/>
    <w:qFormat/>
    <w:tblPr>
      <w:tblCellMar>
        <w:left w:w="0" w:type="dxa"/>
        <w:top w:w="0" w:type="dxa"/>
        <w:right w:w="0" w:type="dxa"/>
        <w:bottom w:w="0" w:type="dxa"/>
      </w:tblCellMar>
    </w:tblPr>
  </w:style>
  <w:style w:type="table" w:styleId="1079" w:customStyle="1">
    <w:name w:val="List Table 7 Colorful - Accent 1"/>
    <w:uiPriority w:val="99"/>
    <w:qFormat/>
    <w:tblPr>
      <w:tblCellMar>
        <w:left w:w="0" w:type="dxa"/>
        <w:top w:w="0" w:type="dxa"/>
        <w:right w:w="0" w:type="dxa"/>
        <w:bottom w:w="0" w:type="dxa"/>
      </w:tblCellMar>
    </w:tblPr>
  </w:style>
  <w:style w:type="table" w:styleId="1080" w:customStyle="1">
    <w:name w:val="List Table 7 Colorful - Accent 2"/>
    <w:uiPriority w:val="99"/>
    <w:qFormat/>
    <w:tblPr>
      <w:tblCellMar>
        <w:left w:w="0" w:type="dxa"/>
        <w:top w:w="0" w:type="dxa"/>
        <w:right w:w="0" w:type="dxa"/>
        <w:bottom w:w="0" w:type="dxa"/>
      </w:tblCellMar>
    </w:tblPr>
  </w:style>
  <w:style w:type="table" w:styleId="1081" w:customStyle="1">
    <w:name w:val="List Table 7 Colorful - Accent 3"/>
    <w:uiPriority w:val="99"/>
    <w:qFormat/>
    <w:tblPr>
      <w:tblCellMar>
        <w:left w:w="0" w:type="dxa"/>
        <w:top w:w="0" w:type="dxa"/>
        <w:right w:w="0" w:type="dxa"/>
        <w:bottom w:w="0" w:type="dxa"/>
      </w:tblCellMar>
    </w:tblPr>
  </w:style>
  <w:style w:type="table" w:styleId="1082" w:customStyle="1">
    <w:name w:val="List Table 7 Colorful - Accent 4"/>
    <w:uiPriority w:val="99"/>
    <w:qFormat/>
    <w:tblPr>
      <w:tblCellMar>
        <w:left w:w="0" w:type="dxa"/>
        <w:top w:w="0" w:type="dxa"/>
        <w:right w:w="0" w:type="dxa"/>
        <w:bottom w:w="0" w:type="dxa"/>
      </w:tblCellMar>
    </w:tblPr>
  </w:style>
  <w:style w:type="table" w:styleId="1083" w:customStyle="1">
    <w:name w:val="List Table 7 Colorful - Accent 5"/>
    <w:uiPriority w:val="99"/>
    <w:qFormat/>
    <w:tblPr>
      <w:tblCellMar>
        <w:left w:w="0" w:type="dxa"/>
        <w:top w:w="0" w:type="dxa"/>
        <w:right w:w="0" w:type="dxa"/>
        <w:bottom w:w="0" w:type="dxa"/>
      </w:tblCellMar>
    </w:tblPr>
  </w:style>
  <w:style w:type="table" w:styleId="1084" w:customStyle="1">
    <w:name w:val="List Table 7 Colorful - Accent 6"/>
    <w:uiPriority w:val="99"/>
    <w:qFormat/>
    <w:tblPr>
      <w:tblCellMar>
        <w:left w:w="0" w:type="dxa"/>
        <w:top w:w="0" w:type="dxa"/>
        <w:right w:w="0" w:type="dxa"/>
        <w:bottom w:w="0" w:type="dxa"/>
      </w:tblCellMar>
    </w:tblPr>
  </w:style>
  <w:style w:type="table" w:styleId="1085" w:customStyle="1">
    <w:name w:val="Lined - Accent"/>
    <w:uiPriority w:val="99"/>
    <w:qFormat/>
    <w:rPr>
      <w:color w:val="404040"/>
    </w:rPr>
    <w:tblPr>
      <w:tblCellMar>
        <w:left w:w="0" w:type="dxa"/>
        <w:top w:w="0" w:type="dxa"/>
        <w:right w:w="0" w:type="dxa"/>
        <w:bottom w:w="0" w:type="dxa"/>
      </w:tblCellMar>
    </w:tblPr>
  </w:style>
  <w:style w:type="table" w:styleId="1086" w:customStyle="1">
    <w:name w:val="Lined - Accent 1"/>
    <w:uiPriority w:val="99"/>
    <w:qFormat/>
    <w:rPr>
      <w:color w:val="404040"/>
    </w:rPr>
    <w:tblPr>
      <w:tblCellMar>
        <w:left w:w="0" w:type="dxa"/>
        <w:top w:w="0" w:type="dxa"/>
        <w:right w:w="0" w:type="dxa"/>
        <w:bottom w:w="0" w:type="dxa"/>
      </w:tblCellMar>
    </w:tblPr>
  </w:style>
  <w:style w:type="table" w:styleId="1087" w:customStyle="1">
    <w:name w:val="Lined - Accent 2"/>
    <w:uiPriority w:val="99"/>
    <w:qFormat/>
    <w:rPr>
      <w:color w:val="404040"/>
    </w:rPr>
    <w:tblPr>
      <w:tblCellMar>
        <w:left w:w="0" w:type="dxa"/>
        <w:top w:w="0" w:type="dxa"/>
        <w:right w:w="0" w:type="dxa"/>
        <w:bottom w:w="0" w:type="dxa"/>
      </w:tblCellMar>
    </w:tblPr>
  </w:style>
  <w:style w:type="table" w:styleId="1088" w:customStyle="1">
    <w:name w:val="Lined - Accent 3"/>
    <w:uiPriority w:val="99"/>
    <w:qFormat/>
    <w:rPr>
      <w:color w:val="404040"/>
    </w:rPr>
    <w:tblPr>
      <w:tblCellMar>
        <w:left w:w="0" w:type="dxa"/>
        <w:top w:w="0" w:type="dxa"/>
        <w:right w:w="0" w:type="dxa"/>
        <w:bottom w:w="0" w:type="dxa"/>
      </w:tblCellMar>
    </w:tblPr>
  </w:style>
  <w:style w:type="table" w:styleId="1089" w:customStyle="1">
    <w:name w:val="Lined - Accent 4"/>
    <w:uiPriority w:val="99"/>
    <w:qFormat/>
    <w:rPr>
      <w:color w:val="404040"/>
    </w:rPr>
    <w:tblPr>
      <w:tblCellMar>
        <w:left w:w="0" w:type="dxa"/>
        <w:top w:w="0" w:type="dxa"/>
        <w:right w:w="0" w:type="dxa"/>
        <w:bottom w:w="0" w:type="dxa"/>
      </w:tblCellMar>
    </w:tblPr>
  </w:style>
  <w:style w:type="table" w:styleId="1090" w:customStyle="1">
    <w:name w:val="Lined - Accent 5"/>
    <w:uiPriority w:val="99"/>
    <w:qFormat/>
    <w:rPr>
      <w:color w:val="404040"/>
    </w:rPr>
    <w:tblPr>
      <w:tblCellMar>
        <w:left w:w="0" w:type="dxa"/>
        <w:top w:w="0" w:type="dxa"/>
        <w:right w:w="0" w:type="dxa"/>
        <w:bottom w:w="0" w:type="dxa"/>
      </w:tblCellMar>
    </w:tblPr>
  </w:style>
  <w:style w:type="table" w:styleId="1091" w:customStyle="1">
    <w:name w:val="Lined - Accent 6"/>
    <w:uiPriority w:val="99"/>
    <w:qFormat/>
    <w:rPr>
      <w:color w:val="404040"/>
    </w:rPr>
    <w:tblPr>
      <w:tblCellMar>
        <w:left w:w="0" w:type="dxa"/>
        <w:top w:w="0" w:type="dxa"/>
        <w:right w:w="0" w:type="dxa"/>
        <w:bottom w:w="0" w:type="dxa"/>
      </w:tblCellMar>
    </w:tblPr>
  </w:style>
  <w:style w:type="table" w:styleId="1092" w:customStyle="1">
    <w:name w:val="Bordered &amp; Lined - Accent"/>
    <w:uiPriority w:val="99"/>
    <w:qFormat/>
    <w:rPr>
      <w:color w:val="404040"/>
    </w:rPr>
    <w:tblPr>
      <w:tblCellMar>
        <w:left w:w="0" w:type="dxa"/>
        <w:top w:w="0" w:type="dxa"/>
        <w:right w:w="0" w:type="dxa"/>
        <w:bottom w:w="0" w:type="dxa"/>
      </w:tblCellMar>
    </w:tblPr>
  </w:style>
  <w:style w:type="table" w:styleId="1093" w:customStyle="1">
    <w:name w:val="Bordered &amp; Lined - Accent 1"/>
    <w:uiPriority w:val="99"/>
    <w:qFormat/>
    <w:rPr>
      <w:color w:val="404040"/>
    </w:rPr>
    <w:tblPr>
      <w:tblCellMar>
        <w:left w:w="0" w:type="dxa"/>
        <w:top w:w="0" w:type="dxa"/>
        <w:right w:w="0" w:type="dxa"/>
        <w:bottom w:w="0" w:type="dxa"/>
      </w:tblCellMar>
    </w:tblPr>
  </w:style>
  <w:style w:type="table" w:styleId="1094" w:customStyle="1">
    <w:name w:val="Bordered &amp; Lined - Accent 2"/>
    <w:uiPriority w:val="99"/>
    <w:qFormat/>
    <w:rPr>
      <w:color w:val="404040"/>
    </w:rPr>
    <w:tblPr>
      <w:tblCellMar>
        <w:left w:w="0" w:type="dxa"/>
        <w:top w:w="0" w:type="dxa"/>
        <w:right w:w="0" w:type="dxa"/>
        <w:bottom w:w="0" w:type="dxa"/>
      </w:tblCellMar>
    </w:tblPr>
  </w:style>
  <w:style w:type="table" w:styleId="1095" w:customStyle="1">
    <w:name w:val="Bordered &amp; Lined - Accent 3"/>
    <w:uiPriority w:val="99"/>
    <w:qFormat/>
    <w:rPr>
      <w:color w:val="404040"/>
    </w:rPr>
    <w:tblPr>
      <w:tblCellMar>
        <w:left w:w="0" w:type="dxa"/>
        <w:top w:w="0" w:type="dxa"/>
        <w:right w:w="0" w:type="dxa"/>
        <w:bottom w:w="0" w:type="dxa"/>
      </w:tblCellMar>
    </w:tblPr>
  </w:style>
  <w:style w:type="table" w:styleId="1096" w:customStyle="1">
    <w:name w:val="Bordered &amp; Lined - Accent 4"/>
    <w:uiPriority w:val="99"/>
    <w:qFormat/>
    <w:rPr>
      <w:color w:val="404040"/>
    </w:rPr>
    <w:tblPr>
      <w:tblCellMar>
        <w:left w:w="0" w:type="dxa"/>
        <w:top w:w="0" w:type="dxa"/>
        <w:right w:w="0" w:type="dxa"/>
        <w:bottom w:w="0" w:type="dxa"/>
      </w:tblCellMar>
    </w:tblPr>
  </w:style>
  <w:style w:type="table" w:styleId="1097" w:customStyle="1">
    <w:name w:val="Bordered &amp; Lined - Accent 5"/>
    <w:uiPriority w:val="99"/>
    <w:qFormat/>
    <w:rPr>
      <w:color w:val="404040"/>
    </w:rPr>
    <w:tblPr>
      <w:tblCellMar>
        <w:left w:w="0" w:type="dxa"/>
        <w:top w:w="0" w:type="dxa"/>
        <w:right w:w="0" w:type="dxa"/>
        <w:bottom w:w="0" w:type="dxa"/>
      </w:tblCellMar>
    </w:tblPr>
  </w:style>
  <w:style w:type="table" w:styleId="1098" w:customStyle="1">
    <w:name w:val="Bordered &amp; Lined - Accent 6"/>
    <w:uiPriority w:val="99"/>
    <w:qFormat/>
    <w:rPr>
      <w:color w:val="404040"/>
    </w:rPr>
    <w:tblPr>
      <w:tblCellMar>
        <w:left w:w="0" w:type="dxa"/>
        <w:top w:w="0" w:type="dxa"/>
        <w:right w:w="0" w:type="dxa"/>
        <w:bottom w:w="0" w:type="dxa"/>
      </w:tblCellMar>
    </w:tblPr>
  </w:style>
  <w:style w:type="table" w:styleId="1099" w:customStyle="1">
    <w:name w:val="Bordered"/>
    <w:uiPriority w:val="99"/>
    <w:qFormat/>
    <w:tblPr>
      <w:tblCellMar>
        <w:left w:w="0" w:type="dxa"/>
        <w:top w:w="0" w:type="dxa"/>
        <w:right w:w="0" w:type="dxa"/>
        <w:bottom w:w="0" w:type="dxa"/>
      </w:tblCellMar>
    </w:tblPr>
  </w:style>
  <w:style w:type="table" w:styleId="1100" w:customStyle="1">
    <w:name w:val="Bordered - Accent 1"/>
    <w:uiPriority w:val="99"/>
    <w:qFormat/>
    <w:tblPr>
      <w:tblCellMar>
        <w:left w:w="0" w:type="dxa"/>
        <w:top w:w="0" w:type="dxa"/>
        <w:right w:w="0" w:type="dxa"/>
        <w:bottom w:w="0" w:type="dxa"/>
      </w:tblCellMar>
    </w:tblPr>
  </w:style>
  <w:style w:type="table" w:styleId="1101" w:customStyle="1">
    <w:name w:val="Bordered - Accent 2"/>
    <w:uiPriority w:val="99"/>
    <w:qFormat/>
    <w:tblPr>
      <w:tblCellMar>
        <w:left w:w="0" w:type="dxa"/>
        <w:top w:w="0" w:type="dxa"/>
        <w:right w:w="0" w:type="dxa"/>
        <w:bottom w:w="0" w:type="dxa"/>
      </w:tblCellMar>
    </w:tblPr>
  </w:style>
  <w:style w:type="table" w:styleId="1102" w:customStyle="1">
    <w:name w:val="Bordered - Accent 3"/>
    <w:uiPriority w:val="99"/>
    <w:qFormat/>
    <w:tblPr>
      <w:tblCellMar>
        <w:left w:w="0" w:type="dxa"/>
        <w:top w:w="0" w:type="dxa"/>
        <w:right w:w="0" w:type="dxa"/>
        <w:bottom w:w="0" w:type="dxa"/>
      </w:tblCellMar>
    </w:tblPr>
  </w:style>
  <w:style w:type="table" w:styleId="1103" w:customStyle="1">
    <w:name w:val="Bordered - Accent 4"/>
    <w:uiPriority w:val="99"/>
    <w:qFormat/>
    <w:tblPr>
      <w:tblCellMar>
        <w:left w:w="0" w:type="dxa"/>
        <w:top w:w="0" w:type="dxa"/>
        <w:right w:w="0" w:type="dxa"/>
        <w:bottom w:w="0" w:type="dxa"/>
      </w:tblCellMar>
    </w:tblPr>
  </w:style>
  <w:style w:type="table" w:styleId="1104" w:customStyle="1">
    <w:name w:val="Bordered - Accent 5"/>
    <w:uiPriority w:val="99"/>
    <w:qFormat/>
    <w:tblPr>
      <w:tblCellMar>
        <w:left w:w="0" w:type="dxa"/>
        <w:top w:w="0" w:type="dxa"/>
        <w:right w:w="0" w:type="dxa"/>
        <w:bottom w:w="0" w:type="dxa"/>
      </w:tblCellMar>
    </w:tblPr>
  </w:style>
  <w:style w:type="table" w:styleId="1105" w:customStyle="1">
    <w:name w:val="Bordered - Accent 6"/>
    <w:uiPriority w:val="99"/>
    <w:qFormat/>
    <w:tblPr>
      <w:tblCellMar>
        <w:left w:w="0" w:type="dxa"/>
        <w:top w:w="0" w:type="dxa"/>
        <w:right w:w="0" w:type="dxa"/>
        <w:bottom w:w="0" w:type="dxa"/>
      </w:tblCellMar>
    </w:tblPr>
  </w:style>
  <w:style w:type="paragraph" w:styleId="1106" w:customStyle="1">
    <w:name w:val="TOC 标题11"/>
    <w:uiPriority w:val="39"/>
    <w:unhideWhenUsed/>
    <w:qFormat/>
    <w:rPr>
      <w:rFonts w:hint="default" w:ascii="Times New Roman" w:hAnsi="Times New Roman" w:eastAsia="宋体" w:cs="Times New Roman"/>
      <w:lang w:val="en-US" w:eastAsia="zh-CN" w:bidi="ar-SA"/>
    </w:rPr>
  </w:style>
  <w:style w:type="paragraph" w:styleId="1107" w:customStyle="1">
    <w:name w:val="正文缩进1"/>
    <w:basedOn w:val="794"/>
    <w:uiPriority w:val="99"/>
    <w:qFormat/>
    <w:pPr>
      <w:ind w:firstLine="420"/>
    </w:pPr>
  </w:style>
  <w:style w:type="paragraph" w:styleId="1108" w:customStyle="1">
    <w:name w:val="标题 31"/>
    <w:basedOn w:val="794"/>
    <w:next w:val="794"/>
    <w:uiPriority w:val="0"/>
    <w:qFormat/>
    <w:pPr>
      <w:jc w:val="left"/>
      <w:spacing w:beforeAutospacing="1" w:afterAutospacing="1"/>
      <w:outlineLvl w:val="2"/>
    </w:pPr>
    <w:rPr>
      <w:rFonts w:hint="eastAsia" w:ascii="宋体" w:hAnsi="宋体"/>
      <w:b/>
      <w:bCs/>
      <w:sz w:val="27"/>
      <w:szCs w:val="27"/>
    </w:rPr>
  </w:style>
  <w:style w:type="character" w:styleId="1109" w:customStyle="1">
    <w:name w:val="默认段落字体1"/>
    <w:uiPriority w:val="1"/>
    <w:unhideWhenUsed/>
    <w:qFormat/>
  </w:style>
  <w:style w:type="table" w:styleId="1110" w:customStyle="1">
    <w:name w:val="普通表格1"/>
    <w:uiPriority w:val="99"/>
    <w:unhideWhenUsed/>
    <w:qFormat/>
    <w:tblPr>
      <w:tblCellMar>
        <w:left w:w="0" w:type="dxa"/>
        <w:top w:w="0" w:type="dxa"/>
        <w:right w:w="0" w:type="dxa"/>
        <w:bottom w:w="0" w:type="dxa"/>
      </w:tblCellMar>
    </w:tblPr>
  </w:style>
  <w:style w:type="paragraph" w:styleId="1111" w:customStyle="1">
    <w:name w:val="文本块111"/>
    <w:basedOn w:val="794"/>
    <w:uiPriority w:val="0"/>
    <w:qFormat/>
    <w:pPr>
      <w:ind w:left="256" w:right="6" w:firstLine="624"/>
    </w:pPr>
    <w:rPr>
      <w:rFonts w:eastAsia="仿宋_GB2312"/>
      <w:sz w:val="28"/>
      <w:szCs w:val="20"/>
    </w:rPr>
  </w:style>
  <w:style w:type="paragraph" w:styleId="1112" w:customStyle="1">
    <w:name w:val="索引 511"/>
    <w:basedOn w:val="794"/>
    <w:next w:val="794"/>
    <w:uiPriority w:val="0"/>
    <w:qFormat/>
    <w:pPr>
      <w:ind w:left="798"/>
      <w:jc w:val="left"/>
    </w:pPr>
  </w:style>
  <w:style w:type="paragraph" w:styleId="1113" w:customStyle="1">
    <w:name w:val="批注文字1"/>
    <w:basedOn w:val="794"/>
    <w:uiPriority w:val="0"/>
    <w:qFormat/>
    <w:pPr>
      <w:jc w:val="left"/>
    </w:pPr>
  </w:style>
  <w:style w:type="paragraph" w:styleId="1114" w:customStyle="1">
    <w:name w:val="正文文本111"/>
    <w:basedOn w:val="794"/>
    <w:next w:val="875"/>
    <w:link w:val="1115"/>
    <w:uiPriority w:val="0"/>
    <w:qFormat/>
    <w:rPr>
      <w:rFonts w:ascii="Verdana" w:hAnsi="Verdana"/>
      <w:sz w:val="24"/>
      <w:szCs w:val="18"/>
    </w:rPr>
  </w:style>
  <w:style w:type="character" w:styleId="1115" w:customStyle="1">
    <w:name w:val="正文文本 Char"/>
    <w:basedOn w:val="1109"/>
    <w:link w:val="1114"/>
    <w:uiPriority w:val="0"/>
    <w:qFormat/>
    <w:rPr>
      <w:rFonts w:ascii="Verdana" w:hAnsi="Verdana"/>
      <w:sz w:val="24"/>
      <w:szCs w:val="18"/>
    </w:rPr>
  </w:style>
  <w:style w:type="character" w:styleId="1116" w:customStyle="1">
    <w:name w:val="NormalCharacter1"/>
    <w:link w:val="794"/>
    <w:uiPriority w:val="0"/>
    <w:qFormat/>
    <w:rPr>
      <w:rFonts w:hint="default" w:ascii="Times New Roman" w:hAnsi="Times New Roman" w:eastAsia="宋体" w:cs="Times New Roman"/>
      <w:sz w:val="21"/>
      <w:szCs w:val="21"/>
      <w:lang w:val="en-US" w:eastAsia="zh-CN" w:bidi="ar-SA"/>
    </w:rPr>
  </w:style>
  <w:style w:type="character" w:styleId="1117" w:customStyle="1">
    <w:name w:val="font51"/>
    <w:basedOn w:val="918"/>
    <w:link w:val="882"/>
    <w:uiPriority w:val="0"/>
    <w:qFormat/>
    <w:rPr>
      <w:rFonts w:ascii="Calibri" w:hAnsi="Calibri" w:cs="Calibri"/>
      <w:color w:val="000000"/>
      <w:sz w:val="22"/>
      <w:szCs w:val="22"/>
      <w:u w:val="none"/>
    </w:rPr>
  </w:style>
  <w:style w:type="paragraph" w:styleId="1118" w:customStyle="1">
    <w:name w:val="标题 41"/>
    <w:basedOn w:val="883"/>
    <w:next w:val="1119"/>
    <w:uiPriority w:val="0"/>
    <w:qFormat/>
    <w:pPr>
      <w:keepLines/>
      <w:keepNext/>
      <w:spacing w:line="360" w:lineRule="auto"/>
      <w:outlineLvl w:val="3"/>
    </w:pPr>
    <w:rPr>
      <w:rFonts w:ascii="Arial" w:hAnsi="Arial"/>
      <w:b/>
      <w:bCs/>
      <w:sz w:val="21"/>
      <w:szCs w:val="28"/>
    </w:rPr>
  </w:style>
  <w:style w:type="paragraph" w:styleId="1119" w:customStyle="1">
    <w:name w:val="正文112"/>
    <w:next w:val="112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正文首行缩进1"/>
    <w:basedOn w:val="1121"/>
    <w:next w:val="1122"/>
    <w:uiPriority w:val="0"/>
    <w:qFormat/>
    <w:pPr>
      <w:ind w:firstLine="420"/>
    </w:pPr>
  </w:style>
  <w:style w:type="paragraph" w:styleId="1121" w:customStyle="1">
    <w:name w:val="正文文本11"/>
    <w:basedOn w:val="880"/>
    <w:next w:val="882"/>
    <w:uiPriority w:val="0"/>
    <w:qFormat/>
    <w:pPr>
      <w:spacing w:after="120"/>
    </w:pPr>
  </w:style>
  <w:style w:type="paragraph" w:styleId="1122" w:customStyle="1">
    <w:name w:val="正文首行缩进 211"/>
    <w:basedOn w:val="1123"/>
    <w:next w:val="1119"/>
    <w:uiPriority w:val="99"/>
    <w:qFormat/>
    <w:pPr>
      <w:ind w:left="0" w:firstLine="420"/>
      <w:spacing w:after="0" w:line="360" w:lineRule="auto"/>
    </w:pPr>
    <w:rPr>
      <w:rFonts w:ascii="宋体" w:hAnsi="宋体"/>
    </w:rPr>
  </w:style>
  <w:style w:type="paragraph" w:styleId="1123" w:customStyle="1">
    <w:name w:val="正文文本缩进11"/>
    <w:basedOn w:val="883"/>
    <w:next w:val="1119"/>
    <w:uiPriority w:val="0"/>
    <w:qFormat/>
    <w:pPr>
      <w:ind w:left="420"/>
      <w:spacing w:after="120"/>
    </w:pPr>
  </w:style>
  <w:style w:type="paragraph" w:styleId="1124" w:customStyle="1">
    <w:name w:val="纯文本1"/>
    <w:basedOn w:val="1125"/>
    <w:uiPriority w:val="0"/>
    <w:qFormat/>
    <w:rPr>
      <w:rFonts w:ascii="宋体" w:hAnsi="Courier New"/>
    </w:rPr>
  </w:style>
  <w:style w:type="paragraph" w:styleId="1125" w:customStyle="1">
    <w:name w:val="正文121"/>
    <w:next w:val="1126"/>
    <w:uiPriority w:val="0"/>
    <w:qFormat/>
    <w:pPr>
      <w:jc w:val="both"/>
      <w:widowControl w:val="off"/>
    </w:pPr>
    <w:rPr>
      <w:rFonts w:hint="default" w:ascii="Calibri" w:hAnsi="Calibri" w:eastAsia="宋体" w:cs="Times New Roman"/>
      <w:sz w:val="21"/>
      <w:szCs w:val="24"/>
      <w:lang w:val="en-US" w:eastAsia="zh-CN" w:bidi="ar-SA"/>
    </w:rPr>
  </w:style>
  <w:style w:type="paragraph" w:styleId="1126" w:customStyle="1">
    <w:name w:val="BlockQuote1"/>
    <w:basedOn w:val="883"/>
    <w:uiPriority w:val="0"/>
    <w:qFormat/>
    <w:pPr>
      <w:ind w:left="256" w:right="6" w:firstLine="624"/>
    </w:pPr>
    <w:rPr>
      <w:rFonts w:eastAsia="仿宋_GB2312"/>
      <w:sz w:val="28"/>
    </w:rPr>
  </w:style>
  <w:style w:type="paragraph" w:styleId="1127" w:customStyle="1">
    <w:name w:val="日期1"/>
    <w:basedOn w:val="794"/>
    <w:next w:val="794"/>
    <w:uiPriority w:val="0"/>
    <w:qFormat/>
    <w:rPr>
      <w:rFonts w:eastAsia="仿宋_GB2312"/>
      <w:sz w:val="28"/>
      <w:szCs w:val="20"/>
    </w:rPr>
  </w:style>
  <w:style w:type="paragraph" w:styleId="1128" w:customStyle="1">
    <w:name w:val="批注框文本1"/>
    <w:basedOn w:val="794"/>
    <w:link w:val="1129"/>
    <w:uiPriority w:val="0"/>
    <w:qFormat/>
    <w:rPr>
      <w:sz w:val="18"/>
      <w:szCs w:val="18"/>
    </w:rPr>
  </w:style>
  <w:style w:type="character" w:styleId="1129" w:customStyle="1">
    <w:name w:val="批注框文本 Char"/>
    <w:basedOn w:val="1109"/>
    <w:link w:val="1128"/>
    <w:uiPriority w:val="0"/>
    <w:qFormat/>
    <w:rPr>
      <w:rFonts w:ascii="Calibri" w:hAnsi="Calibri" w:eastAsia="宋体" w:cs="Times New Roman"/>
      <w:sz w:val="18"/>
      <w:szCs w:val="18"/>
    </w:rPr>
  </w:style>
  <w:style w:type="paragraph" w:styleId="1130" w:customStyle="1">
    <w:name w:val="页脚1"/>
    <w:basedOn w:val="794"/>
    <w:uiPriority w:val="0"/>
    <w:qFormat/>
    <w:pPr>
      <w:jc w:val="left"/>
      <w:tabs>
        <w:tab w:val="center" w:pos="4153" w:leader="none"/>
        <w:tab w:val="right" w:pos="8306" w:leader="none"/>
      </w:tabs>
    </w:pPr>
    <w:rPr>
      <w:sz w:val="18"/>
    </w:rPr>
  </w:style>
  <w:style w:type="paragraph" w:styleId="1131" w:customStyle="1">
    <w:name w:val="页眉1"/>
    <w:basedOn w:val="794"/>
    <w:uiPriority w:val="0"/>
    <w:qFormat/>
    <w:pPr>
      <w:jc w:val="center"/>
      <w:tabs>
        <w:tab w:val="center" w:pos="4153" w:leader="none"/>
        <w:tab w:val="right" w:pos="8306" w:leader="none"/>
      </w:tabs>
      <w:pBdr>
        <w:bottom w:val="single" w:color="000000" w:sz="6" w:space="1"/>
      </w:pBdr>
    </w:pPr>
    <w:rPr>
      <w:sz w:val="18"/>
      <w:szCs w:val="18"/>
    </w:rPr>
  </w:style>
  <w:style w:type="paragraph" w:styleId="1132" w:customStyle="1">
    <w:name w:val="脚注文本11"/>
    <w:basedOn w:val="794"/>
    <w:next w:val="1112"/>
    <w:link w:val="1133"/>
    <w:uiPriority w:val="0"/>
    <w:qFormat/>
    <w:pPr>
      <w:jc w:val="left"/>
    </w:pPr>
    <w:rPr>
      <w:rFonts w:ascii="宋体" w:eastAsia="Times New Roman"/>
      <w:sz w:val="18"/>
      <w:szCs w:val="18"/>
    </w:rPr>
  </w:style>
  <w:style w:type="character" w:styleId="1133" w:customStyle="1">
    <w:name w:val="脚注文本 Char"/>
    <w:basedOn w:val="1109"/>
    <w:link w:val="1132"/>
    <w:uiPriority w:val="0"/>
    <w:qFormat/>
    <w:rPr>
      <w:rFonts w:ascii="宋体" w:hAnsi="Calibri" w:eastAsia="Times New Roman"/>
      <w:sz w:val="18"/>
      <w:szCs w:val="18"/>
    </w:rPr>
  </w:style>
  <w:style w:type="paragraph" w:styleId="1134" w:customStyle="1">
    <w:name w:val="普通(网站)1"/>
    <w:basedOn w:val="794"/>
    <w:uiPriority w:val="0"/>
    <w:qFormat/>
    <w:pPr>
      <w:jc w:val="left"/>
      <w:spacing w:beforeAutospacing="1" w:afterAutospacing="1"/>
    </w:pPr>
    <w:rPr>
      <w:sz w:val="24"/>
    </w:rPr>
  </w:style>
  <w:style w:type="table" w:styleId="1135" w:customStyle="1">
    <w:name w:val="网格型1"/>
    <w:basedOn w:val="1110"/>
    <w:uiPriority w:val="59"/>
    <w:qFormat/>
    <w:rPr>
      <w:rFonts w:ascii="Calibri" w:hAnsi="Calibri"/>
      <w:sz w:val="21"/>
      <w:szCs w:val="22"/>
    </w:rPr>
    <w:tblPr/>
  </w:style>
  <w:style w:type="character" w:styleId="1136" w:customStyle="1">
    <w:name w:val="页码1"/>
    <w:basedOn w:val="1109"/>
    <w:uiPriority w:val="0"/>
    <w:qFormat/>
  </w:style>
  <w:style w:type="character" w:styleId="1137" w:customStyle="1">
    <w:name w:val="超链接1"/>
    <w:uiPriority w:val="99"/>
    <w:qFormat/>
    <w:rPr>
      <w:rFonts w:cs="Times New Roman"/>
      <w:color w:val="0000ff"/>
      <w:u w:val="single"/>
    </w:rPr>
  </w:style>
  <w:style w:type="character" w:styleId="1138" w:customStyle="1">
    <w:name w:val="批注引用1"/>
    <w:basedOn w:val="1109"/>
    <w:uiPriority w:val="0"/>
    <w:qFormat/>
    <w:rPr>
      <w:sz w:val="21"/>
      <w:szCs w:val="21"/>
    </w:rPr>
  </w:style>
  <w:style w:type="paragraph" w:styleId="1139" w:customStyle="1">
    <w:name w:val="BlockQuote11"/>
    <w:basedOn w:val="794"/>
    <w:uiPriority w:val="0"/>
    <w:qFormat/>
    <w:pPr>
      <w:ind w:left="256" w:right="6" w:firstLine="624"/>
    </w:pPr>
    <w:rPr>
      <w:rFonts w:eastAsia="仿宋_GB2312"/>
      <w:sz w:val="28"/>
    </w:rPr>
  </w:style>
  <w:style w:type="paragraph" w:styleId="1140" w:customStyle="1">
    <w:name w:val="Default"/>
    <w:next w:val="794"/>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1141" w:customStyle="1">
    <w:name w:val="font81"/>
    <w:basedOn w:val="1109"/>
    <w:uiPriority w:val="0"/>
    <w:qFormat/>
    <w:rPr>
      <w:rFonts w:hint="eastAsia" w:ascii="宋体" w:hAnsi="宋体" w:eastAsia="宋体" w:cs="宋体"/>
      <w:color w:val="ff0000"/>
      <w:sz w:val="20"/>
      <w:szCs w:val="20"/>
      <w:u w:val="none"/>
    </w:rPr>
  </w:style>
  <w:style w:type="character" w:styleId="1142" w:customStyle="1">
    <w:name w:val="font71"/>
    <w:basedOn w:val="1109"/>
    <w:uiPriority w:val="0"/>
    <w:qFormat/>
    <w:rPr>
      <w:rFonts w:hint="eastAsia" w:ascii="宋体" w:hAnsi="宋体" w:eastAsia="宋体" w:cs="宋体"/>
      <w:color w:val="000000"/>
      <w:sz w:val="20"/>
      <w:szCs w:val="20"/>
      <w:u w:val="none"/>
    </w:rPr>
  </w:style>
  <w:style w:type="character" w:styleId="1143" w:customStyle="1">
    <w:name w:val="font01"/>
    <w:basedOn w:val="918"/>
    <w:uiPriority w:val="0"/>
    <w:qFormat/>
    <w:rPr>
      <w:rFonts w:hint="eastAsia" w:ascii="宋体" w:hAnsi="宋体" w:eastAsia="宋体" w:cs="宋体"/>
      <w:color w:val="000000"/>
      <w:sz w:val="21"/>
      <w:szCs w:val="21"/>
      <w:u w:val="none"/>
    </w:rPr>
  </w:style>
  <w:style w:type="character" w:styleId="1144" w:customStyle="1">
    <w:name w:val="font21"/>
    <w:basedOn w:val="1109"/>
    <w:uiPriority w:val="0"/>
    <w:qFormat/>
    <w:rPr>
      <w:rFonts w:hint="eastAsia" w:ascii="宋体" w:hAnsi="宋体" w:eastAsia="宋体" w:cs="宋体"/>
      <w:color w:val="000000"/>
      <w:sz w:val="20"/>
      <w:szCs w:val="20"/>
      <w:u w:val="none"/>
    </w:rPr>
  </w:style>
  <w:style w:type="character" w:styleId="1145" w:customStyle="1">
    <w:name w:val="font112"/>
    <w:basedOn w:val="1109"/>
    <w:uiPriority w:val="0"/>
    <w:qFormat/>
    <w:rPr>
      <w:rFonts w:hint="eastAsia" w:ascii="宋体" w:hAnsi="宋体" w:eastAsia="宋体" w:cs="宋体"/>
      <w:color w:val="000000"/>
      <w:sz w:val="20"/>
      <w:szCs w:val="20"/>
      <w:u w:val="none"/>
    </w:rPr>
  </w:style>
  <w:style w:type="character" w:styleId="1146" w:customStyle="1">
    <w:name w:val="font101"/>
    <w:basedOn w:val="1109"/>
    <w:uiPriority w:val="0"/>
    <w:qFormat/>
    <w:rPr>
      <w:rFonts w:hint="eastAsia" w:ascii="宋体" w:hAnsi="宋体" w:eastAsia="宋体" w:cs="宋体"/>
      <w:color w:val="ff0000"/>
      <w:sz w:val="20"/>
      <w:szCs w:val="20"/>
      <w:u w:val="none"/>
    </w:rPr>
  </w:style>
  <w:style w:type="character" w:styleId="1147" w:customStyle="1">
    <w:name w:val="font91"/>
    <w:basedOn w:val="1109"/>
    <w:uiPriority w:val="0"/>
    <w:qFormat/>
    <w:rPr>
      <w:rFonts w:hint="eastAsia" w:ascii="宋体" w:hAnsi="宋体" w:eastAsia="宋体" w:cs="宋体"/>
      <w:color w:val="000000"/>
      <w:sz w:val="20"/>
      <w:szCs w:val="20"/>
      <w:u w:val="none"/>
    </w:rPr>
  </w:style>
  <w:style w:type="character" w:styleId="1148" w:customStyle="1">
    <w:name w:val="NormalCharacter11"/>
    <w:uiPriority w:val="0"/>
    <w:qFormat/>
    <w:rPr>
      <w:lang w:val="en-US" w:eastAsia="zh-CN" w:bidi="ar-SA"/>
    </w:rPr>
  </w:style>
  <w:style w:type="paragraph" w:styleId="1149" w:customStyle="1">
    <w:name w:val="目录 11"/>
    <w:basedOn w:val="873"/>
    <w:next w:val="883"/>
    <w:uiPriority w:val="0"/>
    <w:qFormat/>
  </w:style>
  <w:style w:type="paragraph" w:styleId="1150" w:customStyle="1">
    <w:name w:val="首行缩进"/>
    <w:basedOn w:val="794"/>
    <w:uiPriority w:val="0"/>
    <w:qFormat/>
    <w:pPr>
      <w:ind w:firstLine="420"/>
      <w:spacing w:line="360" w:lineRule="auto"/>
    </w:pPr>
  </w:style>
  <w:style w:type="paragraph" w:styleId="1151" w:customStyle="1">
    <w:name w:val="Heading21"/>
    <w:basedOn w:val="794"/>
    <w:next w:val="794"/>
    <w:uiPriority w:val="0"/>
    <w:qFormat/>
    <w:pPr>
      <w:keepLines/>
      <w:keepNext/>
    </w:pPr>
    <w:rPr>
      <w:rFonts w:ascii="Arial" w:hAnsi="Arial"/>
      <w:sz w:val="28"/>
    </w:rPr>
  </w:style>
  <w:style w:type="paragraph" w:styleId="1152" w:customStyle="1">
    <w:name w:val="标准"/>
    <w:basedOn w:val="794"/>
    <w:uiPriority w:val="0"/>
    <w:qFormat/>
    <w:pPr>
      <w:ind w:firstLine="200"/>
      <w:spacing w:line="360" w:lineRule="auto"/>
    </w:pPr>
    <w:rPr>
      <w:rFonts w:cs="宋体"/>
      <w:szCs w:val="20"/>
    </w:rPr>
  </w:style>
  <w:style w:type="paragraph" w:styleId="1153" w:customStyle="1">
    <w:name w:val="列出段落2"/>
    <w:basedOn w:val="794"/>
    <w:uiPriority w:val="34"/>
    <w:qFormat/>
    <w:pPr>
      <w:ind w:firstLine="420"/>
    </w:pPr>
  </w:style>
  <w:style w:type="paragraph" w:styleId="1154" w:customStyle="1">
    <w:name w:val="正文（缩进）"/>
    <w:basedOn w:val="794"/>
    <w:uiPriority w:val="0"/>
    <w:qFormat/>
    <w:pPr>
      <w:ind w:firstLine="480"/>
      <w:spacing w:line="360" w:lineRule="auto"/>
    </w:pPr>
    <w:rPr>
      <w:sz w:val="24"/>
    </w:rPr>
  </w:style>
  <w:style w:type="paragraph" w:styleId="1155" w:customStyle="1">
    <w:name w:val="Table Paragraph"/>
    <w:basedOn w:val="883"/>
    <w:uiPriority w:val="0"/>
    <w:qFormat/>
    <w:pPr>
      <w:jc w:val="left"/>
      <w:widowControl w:val="off"/>
    </w:pPr>
    <w:rPr>
      <w:rFonts w:ascii="仿宋" w:hAnsi="仿宋" w:eastAsia="仿宋"/>
      <w:sz w:val="22"/>
      <w:szCs w:val="22"/>
    </w:rPr>
  </w:style>
  <w:style w:type="paragraph" w:styleId="1156" w:customStyle="1">
    <w:name w:val="无间隔1"/>
    <w:uiPriority w:val="1"/>
    <w:qFormat/>
    <w:pPr>
      <w:jc w:val="both"/>
      <w:widowControl w:val="off"/>
    </w:pPr>
    <w:rPr>
      <w:rFonts w:hint="default" w:ascii="宋体" w:hAnsi="宋体" w:eastAsia="宋体" w:cs="宋体"/>
      <w:sz w:val="21"/>
      <w:szCs w:val="22"/>
      <w:lang w:val="en-US" w:eastAsia="zh-CN" w:bidi="ar-SA"/>
    </w:rPr>
  </w:style>
  <w:style w:type="paragraph" w:styleId="1157" w:customStyle="1">
    <w:name w:val="p0"/>
    <w:basedOn w:val="794"/>
    <w:uiPriority w:val="0"/>
    <w:qFormat/>
  </w:style>
  <w:style w:type="paragraph" w:styleId="1158" w:customStyle="1">
    <w:name w:val="Normal1"/>
    <w:uiPriority w:val="0"/>
    <w:qFormat/>
    <w:pPr>
      <w:jc w:val="both"/>
    </w:pPr>
    <w:rPr>
      <w:rFonts w:hint="default" w:ascii="Times New Roman" w:hAnsi="Times New Roman" w:eastAsia="宋体" w:cs="Times New Roman"/>
      <w:sz w:val="21"/>
      <w:szCs w:val="21"/>
      <w:lang w:val="en-US" w:eastAsia="zh-CN" w:bidi="ar-SA"/>
    </w:rPr>
  </w:style>
  <w:style w:type="character" w:styleId="1159" w:customStyle="1">
    <w:name w:val="font61"/>
    <w:basedOn w:val="918"/>
    <w:uiPriority w:val="0"/>
    <w:qFormat/>
    <w:rPr>
      <w:rFonts w:ascii="Calibri" w:hAnsi="Calibri" w:cs="Calibri"/>
      <w:color w:val="000000"/>
      <w:sz w:val="24"/>
      <w:szCs w:val="24"/>
      <w:u w:val="none"/>
    </w:rPr>
  </w:style>
  <w:style w:type="character" w:styleId="1160" w:customStyle="1">
    <w:name w:val="font11"/>
    <w:basedOn w:val="918"/>
    <w:uiPriority w:val="0"/>
    <w:qFormat/>
    <w:rPr>
      <w:rFonts w:hint="eastAsia" w:ascii="宋体" w:hAnsi="宋体" w:eastAsia="宋体" w:cs="宋体"/>
      <w:color w:val="000000"/>
      <w:sz w:val="22"/>
      <w:szCs w:val="22"/>
      <w:u w:val="none"/>
    </w:rPr>
  </w:style>
  <w:style w:type="table" w:styleId="1161" w:customStyle="1">
    <w:name w:val="网格型6"/>
    <w:basedOn w:val="919"/>
    <w:uiPriority w:val="99"/>
    <w:unhideWhenUsed/>
    <w:qFormat/>
    <w:rPr>
      <w:rFonts w:eastAsia="Times New Roman"/>
    </w:rPr>
    <w:tblPr/>
  </w:style>
  <w:style w:type="table" w:styleId="1162"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paragraph" w:styleId="1163" w:customStyle="1">
    <w:name w:val="WPSOffice手动目录 1"/>
    <w:uiPriority w:val="0"/>
    <w:qFormat/>
    <w:rPr>
      <w:rFonts w:hint="default" w:ascii="Times New Roman" w:hAnsi="Times New Roman" w:eastAsia="宋体" w:cs="Times New Roman"/>
      <w:lang w:val="en-US" w:eastAsia="zh-CN" w:bidi="ar-SA"/>
    </w:rPr>
  </w:style>
  <w:style w:type="numbering" w:styleId="1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2.jpg"/><Relationship Id="rId17"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永</dc:creator>
  <cp:lastModifiedBy>夏海燕</cp:lastModifiedBy>
  <cp:revision>14</cp:revision>
  <dcterms:created xsi:type="dcterms:W3CDTF">2014-10-29T20:08:00Z</dcterms:created>
  <dcterms:modified xsi:type="dcterms:W3CDTF">2025-12-03T07:18:31Z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55C1FFC11B3E4BE199E3C708EFDB5B38_13</vt:lpwstr>
  </property>
  <property fmtid="{D5CDD505-2E9C-101B-9397-08002B2CF9AE}" pid="4" name="KSOTemplateDocerSaveRecord">
    <vt:lpwstr>eyJoZGlkIjoiNGE3NTRiNjhkNzA3NzAwMzE5Mjk4NWQ4ZGU1MjM4NDEiLCJ1c2VySWQiOiI0ODkyMzMxMDQifQ==</vt:lpwstr>
  </property>
</Properties>
</file>